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SMOKER/NONSMOKER MORTALITY TABLES</w:t>
      </w:r>
      <w:r>
        <w:br/>
      </w:r>
      <w:r>
        <w:rPr>
          <w:rFonts w:ascii="Times New Roman" w:hAnsi="Times New Roman"/>
          <w:b w:val="false"/>
          <w:i w:val="false"/>
          <w:color w:val="000000"/>
          <w:sz w:val="21"/>
        </w:rPr>
        <w:t>FOR USE IN DETERMINING MINIMUM RESERVE LIABILITIES</w:t>
      </w:r>
      <w:r>
        <w:br/>
      </w:r>
      <w:r>
        <w:rPr>
          <w:rFonts w:ascii="Times New Roman" w:hAnsi="Times New Roman"/>
          <w:b w:val="false"/>
          <w:i w:val="false"/>
          <w:color w:val="000000"/>
          <w:sz w:val="21"/>
        </w:rPr>
        <w:t>AND NONFORFEITURE BENEFITS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191—44.1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rule is to permit the use of mortality tables that reflect differences in mortality between smokers and nonsmokers in determining minimum reserve liabilities and minimum cash surrender values and amounts of paid-up nonforfeiture benefits for plans of insurance with separate risk classifications for smokers and nonsmokers.</w:t>
      </w:r>
    </w:p>
    <w:p>
      <w:pPr>
        <w:spacing w:before="0" w:after="0"/>
        <w:ind w:left="120"/>
        <w:jc w:val="both"/>
      </w:pPr>
      <w:r>
        <w:rPr>
          <w:rFonts w:ascii="Times New Roman" w:hAnsi="Times New Roman"/>
          <w:b/>
          <w:i w:val="false"/>
          <w:color w:val="000000"/>
          <w:sz w:val="22"/>
        </w:rPr>
        <w:t>191—44.2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CSO Table, with or without Ten-Year Select Mortality Factor” </w:t>
      </w:r>
      <w:r>
        <w:rPr>
          <w:rFonts w:ascii="Times New Roman" w:hAnsi="Times New Roman"/>
          <w:b w:val="false"/>
          <w:i w:val="false"/>
          <w:color w:val="000000"/>
          <w:sz w:val="22"/>
        </w:rPr>
        <w:t>means that mortality table, consisting of separate rates of mortality for male and female lives, developed by the Society of Actuaries Committee to Recommend New Mortality Tables for Valuation of Standard Individual Ordinary Life Insurance, incorporated in the 1980 NAIC Amendments to the Model Standard Valuation Law and Standard Nonforfeiture Law for Life Insurance, and referred to in those models as the Commissioners 1980 Standard Ordinary Mortality Table, with or without Ten-Year Select Mortality Factors. The same select factors will be used for both smokers and nonsmokers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CET Table” </w:t>
      </w:r>
      <w:r>
        <w:rPr>
          <w:rFonts w:ascii="Times New Roman" w:hAnsi="Times New Roman"/>
          <w:b w:val="false"/>
          <w:i w:val="false"/>
          <w:color w:val="000000"/>
          <w:sz w:val="22"/>
        </w:rPr>
        <w:t>means that mortality table consisting of separate rates of mortality for male and female lives, developed by the Society of Actuaries Committee to Recommend New Mortality Tables for Valuation of Standard Individual Ordinary Life Insurance, incorporated in the 1980 NAIC Amendments to the Model Standard Nonforfeiture Law for Life Insurance, and referred to in those models as the Commissioners 1980 Extended Term Insurance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“1958 CSO Table” </w:t>
      </w:r>
      <w:r>
        <w:rPr>
          <w:rFonts w:ascii="Times New Roman" w:hAnsi="Times New Roman"/>
          <w:b w:val="false"/>
          <w:i w:val="false"/>
          <w:color w:val="000000"/>
          <w:sz w:val="22"/>
        </w:rPr>
        <w:t>means that mortality table developed by the Society of Actuaries Special Committee on New Mortality Tables, incorporated in the NAIC Model Standard Nonforfeiture Law for Life Insurance, and referred to in that model as the Commissioners 1958 Standard Ordinary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“1958 CET Table” </w:t>
      </w:r>
      <w:r>
        <w:rPr>
          <w:rFonts w:ascii="Times New Roman" w:hAnsi="Times New Roman"/>
          <w:b w:val="false"/>
          <w:i w:val="false"/>
          <w:color w:val="000000"/>
          <w:sz w:val="22"/>
        </w:rPr>
        <w:t>means that mortality table developed by the Society of Actuaries Special Committee on New Mortality Tables, incorporated in the NAIC Model Standard Nonforfeiture Law for Life Insurance, and referred to in that model as the Commissioners 1958 Extended Term Insurance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“Smoker and nonsmoker mortality tables” </w:t>
      </w:r>
      <w:r>
        <w:rPr>
          <w:rFonts w:ascii="Times New Roman" w:hAnsi="Times New Roman"/>
          <w:b w:val="false"/>
          <w:i w:val="false"/>
          <w:color w:val="000000"/>
          <w:sz w:val="22"/>
        </w:rPr>
        <w:t>means those mortality tables with separate rates of mortality for smokers and nonsmokers derived from the tables defined in the first four paragraphs of this rule which were developed by the Society of Actuaries Task Force on Smoker/Nonsmoker Mortality and the California Insurance Department staff and recommended by the NAIC Technical Staff Actuarial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mortality tables” </w:t>
      </w:r>
      <w:r>
        <w:rPr>
          <w:rFonts w:ascii="Times New Roman" w:hAnsi="Times New Roman"/>
          <w:b w:val="false"/>
          <w:i w:val="false"/>
          <w:color w:val="000000"/>
          <w:sz w:val="22"/>
        </w:rPr>
        <w:t>means those mortality tables defined in the first four paragraphs of this rule as they were originally published with rates of mortality that do not distinguish between smokers and nonsmokers.</w:t>
      </w:r>
    </w:p>
    <w:p>
      <w:pPr>
        <w:spacing w:before="0" w:after="0"/>
        <w:ind w:left="120"/>
        <w:jc w:val="both"/>
      </w:pPr>
      <w:r>
        <w:rPr>
          <w:rFonts w:ascii="Times New Roman" w:hAnsi="Times New Roman"/>
          <w:b/>
          <w:i w:val="false"/>
          <w:color w:val="000000"/>
          <w:sz w:val="22"/>
        </w:rPr>
        <w:t>191—44.3</w:t>
      </w:r>
      <w:r>
        <w:rPr>
          <w:rFonts w:ascii="Times New Roman" w:hAnsi="Times New Roman"/>
          <w:b/>
          <w:i w:val="false"/>
          <w:color w:val="000000"/>
          <w:sz w:val="22"/>
        </w:rPr>
        <w:t xml:space="preserve">(508) </w:t>
      </w:r>
      <w:r>
        <w:rPr>
          <w:rFonts w:ascii="Times New Roman" w:hAnsi="Times New Roman"/>
          <w:b/>
          <w:i w:val="false"/>
          <w:color w:val="000000"/>
          <w:sz w:val="22"/>
        </w:rPr>
        <w:t xml:space="preserve">Alternate tables.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minimum reserve liabilities and minimum cash surrender values and amounts of paid-up nonforfeiture benefits for any policy of insurance delivered or issued for delivery in this state after the operative date of Iowa Code section </w:t>
      </w:r>
      <w:hyperlink r:id="rId5">
        <w:r>
          <w:rPr>
            <w:rStyle w:val="Hyperlink"/>
            <w:rFonts w:ascii="Times New Roman" w:hAnsi="Times New Roman"/>
            <w:b w:val="false"/>
            <w:i w:val="false"/>
            <w:color w:val="000000"/>
            <w:sz w:val="22"/>
          </w:rPr>
          <w:t>508.37(7)</w:t>
        </w:r>
      </w:hyperlink>
      <w:r>
        <w:rPr>
          <w:rFonts w:ascii="Times New Roman" w:hAnsi="Times New Roman"/>
          <w:b w:val="false"/>
          <w:i/>
          <w:color w:val="000000"/>
          <w:sz w:val="22"/>
        </w:rPr>
        <w:t>“k”</w:t>
      </w:r>
      <w:r>
        <w:rPr>
          <w:rFonts w:ascii="Times New Roman" w:hAnsi="Times New Roman"/>
          <w:b w:val="false"/>
          <w:i w:val="false"/>
          <w:color w:val="000000"/>
          <w:sz w:val="22"/>
        </w:rPr>
        <w:t xml:space="preserve"> for that policy form and before January 1, 1989, at the option of the company and subject to the conditions stated in rule </w:t>
      </w:r>
      <w:hyperlink r:id="rId6">
        <w:r>
          <w:rPr>
            <w:rStyle w:val="Hyperlink"/>
            <w:rFonts w:ascii="Times New Roman" w:hAnsi="Times New Roman"/>
            <w:b w:val="false"/>
            <w:i w:val="false"/>
            <w:color w:val="000000"/>
            <w:sz w:val="22"/>
          </w:rPr>
          <w:t>191—44.4</w:t>
        </w:r>
      </w:hyperlink>
      <w:r>
        <w:rPr>
          <w:rFonts w:ascii="Times New Roman" w:hAnsi="Times New Roman"/>
          <w:b w:val="false"/>
          <w:i w:val="false"/>
          <w:color w:val="000000"/>
          <w:sz w:val="22"/>
        </w:rPr>
        <w:t>(508):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1958 CSO Smoker and Nonsmoker Mortality Tables may be substituted for the 1980 CSO Table, with or without Ten-Year Select Mortality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1958 CET Smoker and Nonsmoker Mortality Tables may be substituted for the 1980 CET Table.</w:t>
      </w:r>
    </w:p>
    <w:p>
      <w:pPr>
        <w:spacing w:before="0" w:after="0"/>
        <w:ind w:left="120"/>
        <w:jc w:val="both"/>
      </w:pPr>
      <w:r>
        <w:rPr>
          <w:rFonts w:ascii="Times New Roman" w:hAnsi="Times New Roman"/>
          <w:b w:val="false"/>
          <w:i w:val="false"/>
          <w:color w:val="000000"/>
          <w:sz w:val="22"/>
        </w:rPr>
        <w:t>For any category of insurance issued on female lives with minimum reserve liabilities and minimum cash surrender values and amounts of paid-up nonforfeiture benefits determined using the 1958 CSO or 1958 CET Smoker and Nonsmoker Mortality Tables, such minimum values may be calculated according to an age not more than six years younger than the actual age of the insured. Further, the substitution of the 1958 CSO or 1958 CET Smoker and Nonsmoker Mortality Tables is available only if made for each policy of insurance on a policy form delivered or issued for delivery on or after the operative date for that policy form and before a date not later than January 1,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minimum reserve liabilities and minimum cash surrender values and amounts of paid-up nonforfeiture benefits for any policy of insurance delivered or issued for delivery in this state after the operative date of Iowa Code section </w:t>
      </w:r>
      <w:hyperlink r:id="rId7">
        <w:r>
          <w:rPr>
            <w:rStyle w:val="Hyperlink"/>
            <w:rFonts w:ascii="Times New Roman" w:hAnsi="Times New Roman"/>
            <w:b w:val="false"/>
            <w:i w:val="false"/>
            <w:color w:val="000000"/>
            <w:sz w:val="22"/>
          </w:rPr>
          <w:t>508.37(7)</w:t>
        </w:r>
      </w:hyperlink>
      <w:r>
        <w:rPr>
          <w:rFonts w:ascii="Times New Roman" w:hAnsi="Times New Roman"/>
          <w:b w:val="false"/>
          <w:i/>
          <w:color w:val="000000"/>
          <w:sz w:val="22"/>
        </w:rPr>
        <w:t>“k”</w:t>
      </w:r>
      <w:r>
        <w:rPr>
          <w:rFonts w:ascii="Times New Roman" w:hAnsi="Times New Roman"/>
          <w:b w:val="false"/>
          <w:i w:val="false"/>
          <w:color w:val="000000"/>
          <w:sz w:val="22"/>
        </w:rPr>
        <w:t xml:space="preserve"> for that policy form, at the option of the company and subject to the conditions stated in rule </w:t>
      </w:r>
      <w:hyperlink r:id="rId8">
        <w:r>
          <w:rPr>
            <w:rStyle w:val="Hyperlink"/>
            <w:rFonts w:ascii="Times New Roman" w:hAnsi="Times New Roman"/>
            <w:b w:val="false"/>
            <w:i w:val="false"/>
            <w:color w:val="000000"/>
            <w:sz w:val="22"/>
          </w:rPr>
          <w:t>191—44.4</w:t>
        </w:r>
      </w:hyperlink>
      <w:r>
        <w:rPr>
          <w:rFonts w:ascii="Times New Roman" w:hAnsi="Times New Roman"/>
          <w:b w:val="false"/>
          <w:i w:val="false"/>
          <w:color w:val="000000"/>
          <w:sz w:val="22"/>
        </w:rPr>
        <w:t>(508):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1980 CSO Smoker and Nonsmoker Mortality Tables, with or without Ten-Year Select Mortality Factors, may be substituted for the 1980 CSO Table, with or without Ten-Year Select Mortality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1980 CET Smoker and Nonsmoker Mortality Tables may be substituted for the 1980 CET 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191—44.4</w:t>
      </w:r>
      <w:r>
        <w:rPr>
          <w:rFonts w:ascii="Times New Roman" w:hAnsi="Times New Roman"/>
          <w:b/>
          <w:i w:val="false"/>
          <w:color w:val="000000"/>
          <w:sz w:val="22"/>
        </w:rPr>
        <w:t xml:space="preserve">(508) </w:t>
      </w:r>
      <w:r>
        <w:rPr>
          <w:rFonts w:ascii="Times New Roman" w:hAnsi="Times New Roman"/>
          <w:b/>
          <w:i w:val="false"/>
          <w:color w:val="000000"/>
          <w:sz w:val="22"/>
        </w:rPr>
        <w:t xml:space="preserve">Conditions. </w:t>
      </w:r>
      <w:r>
        <w:rPr>
          <w:rFonts w:ascii="Times New Roman" w:hAnsi="Times New Roman"/>
          <w:b w:val="false"/>
          <w:i w:val="false"/>
          <w:color w:val="000000"/>
          <w:sz w:val="22"/>
        </w:rPr>
        <w:t>For each plan of insurance with separate rates for smokers and nonsmokers an insurer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composite mortality tables to determine minimum reserve liabilities and minimum cash surrender values and amounts of paid-up nonforfeiture benefits,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Use smoker and nonsmoker mortality tables to determine the valuation net premiums and additional minimum reserves, if any, required by Iowa Code section </w:t>
      </w:r>
      <w:hyperlink r:id="rId9">
        <w:r>
          <w:rPr>
            <w:rStyle w:val="Hyperlink"/>
            <w:rFonts w:ascii="Times New Roman" w:hAnsi="Times New Roman"/>
            <w:b w:val="false"/>
            <w:i w:val="false"/>
            <w:color w:val="000000"/>
            <w:sz w:val="22"/>
          </w:rPr>
          <w:t>508.36(3)</w:t>
        </w:r>
      </w:hyperlink>
      <w:r>
        <w:rPr>
          <w:rFonts w:ascii="Times New Roman" w:hAnsi="Times New Roman"/>
          <w:b w:val="false"/>
          <w:i/>
          <w:color w:val="000000"/>
          <w:sz w:val="22"/>
        </w:rPr>
        <w:t>“a”</w:t>
      </w:r>
      <w:r>
        <w:rPr>
          <w:rFonts w:ascii="Times New Roman" w:hAnsi="Times New Roman"/>
          <w:b w:val="false"/>
          <w:i w:val="false"/>
          <w:color w:val="000000"/>
          <w:sz w:val="22"/>
        </w:rPr>
        <w:t>(1) and use composite mortality tables to determine the basic minimum reserves, minimum cash surrender values and amounts of paid-up nonforfeiture benefits,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smoker and nonsmoker mortality tables to determine minimum reserve liabilities and minimum cash surrender values and amounts of paid-up nonforfeiture benefits.</w:t>
      </w:r>
    </w:p>
    <w:p>
      <w:pPr>
        <w:spacing w:before="210" w:after="0"/>
        <w:ind w:left="120"/>
        <w:jc w:val="both"/>
      </w:pPr>
      <w:r>
        <w:rPr>
          <w:rFonts w:ascii="Times New Roman" w:hAnsi="Times New Roman"/>
          <w:b/>
          <w:i w:val="false"/>
          <w:color w:val="000000"/>
          <w:sz w:val="22"/>
        </w:rPr>
        <w:t>191—44.5</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chapter or the application of this chapter to any person or circumstance is for any reason held to be invalid, the remainder of this chapter and the application of the remaining provisions to other persons or circumstances shall not be affected.</w:t>
      </w:r>
    </w:p>
    <w:p>
      <w:pPr>
        <w:spacing w:before="210" w:after="0"/>
        <w:ind w:left="120"/>
        <w:jc w:val="both"/>
      </w:pPr>
      <w:r>
        <w:rPr>
          <w:rFonts w:ascii="Times New Roman" w:hAnsi="Times New Roman"/>
          <w:b/>
          <w:i w:val="false"/>
          <w:color w:val="000000"/>
          <w:sz w:val="22"/>
        </w:rPr>
        <w:t>191—44.6</w:t>
      </w:r>
      <w:r>
        <w:rPr>
          <w:rFonts w:ascii="Times New Roman" w:hAnsi="Times New Roman"/>
          <w:b/>
          <w:i w:val="false"/>
          <w:color w:val="000000"/>
          <w:sz w:val="22"/>
        </w:rPr>
        <w:t xml:space="preserve">(508) </w:t>
      </w:r>
      <w:r>
        <w:rPr>
          <w:rFonts w:ascii="Times New Roman" w:hAnsi="Times New Roman"/>
          <w:b/>
          <w:i w:val="false"/>
          <w:color w:val="000000"/>
          <w:sz w:val="22"/>
        </w:rPr>
        <w:t xml:space="preserve">2001 CSO Mortality Table. </w:t>
      </w:r>
      <w:r>
        <w:rPr>
          <w:rFonts w:ascii="Times New Roman" w:hAnsi="Times New Roman"/>
          <w:b w:val="false"/>
          <w:i w:val="false"/>
          <w:color w:val="000000"/>
          <w:sz w:val="22"/>
        </w:rPr>
        <w:t xml:space="preserve">The 2001 CSO Mortality Table shall be used for purposes of this chapter pursuant to the requirements of </w:t>
      </w:r>
      <w:hyperlink r:id="rId10">
        <w:r>
          <w:rPr>
            <w:rStyle w:val="Hyperlink"/>
            <w:rFonts w:ascii="Times New Roman" w:hAnsi="Times New Roman"/>
            <w:b w:val="false"/>
            <w:i w:val="false"/>
            <w:color w:val="000000"/>
            <w:sz w:val="22"/>
          </w:rPr>
          <w:t>191—Chapter 91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508.37(6)</w:t>
        </w:r>
      </w:hyperlink>
      <w:r>
        <w:rPr>
          <w:rFonts w:ascii="Times New Roman" w:hAnsi="Times New Roman"/>
          <w:b w:val="false"/>
          <w:i/>
          <w:color w:val="000000"/>
          <w:sz w:val="22"/>
        </w:rPr>
        <w:t>“h”</w:t>
      </w:r>
      <w:r>
        <w:rPr>
          <w:rFonts w:ascii="Times New Roman" w:hAnsi="Times New Roman"/>
          <w:b w:val="false"/>
          <w:i w:val="false"/>
          <w:color w:val="000000"/>
          <w:sz w:val="22"/>
        </w:rPr>
        <w:t>(6).</w:t>
      </w:r>
    </w:p>
    <w:p>
      <w:pPr>
        <w:spacing w:before="0" w:after="0"/>
        <w:ind w:left="120"/>
        <w:jc w:val="center"/>
      </w:pPr>
      <w:r>
        <w:rPr>
          <w:rFonts w:ascii="Times New Roman" w:hAnsi="Times New Roman"/>
          <w:b w:val="false"/>
          <w:i w:val="false"/>
          <w:color w:val="000000"/>
          <w:sz w:val="21"/>
        </w:rPr>
        <w:t>[Filed 12/10/86, Notice 11/5/86—published 12/31/86, effective 2/4/87]</w:t>
      </w:r>
    </w:p>
    <w:p>
      <w:pPr>
        <w:spacing w:before="0" w:after="0"/>
        <w:ind w:left="120"/>
        <w:jc w:val="center"/>
      </w:pPr>
      <w:r>
        <w:rPr>
          <w:rFonts w:ascii="Times New Roman" w:hAnsi="Times New Roman"/>
          <w:b w:val="false"/>
          <w:i w:val="false"/>
          <w:color w:val="000000"/>
          <w:sz w:val="21"/>
        </w:rPr>
        <w:t>[Filed emergency 12/4/03 after Notice 10/1/03—published 12/24/03, effective 1/1/04]</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7.pdf" Type="http://schemas.openxmlformats.org/officeDocument/2006/relationships/hyperlink" Id="rId5"/>
    <Relationship TargetMode="External" Target="https://www.legis.iowa.gov/docs/iac/rule/191.44.4.pdf" Type="http://schemas.openxmlformats.org/officeDocument/2006/relationships/hyperlink" Id="rId6"/>
    <Relationship TargetMode="External" Target="https://www.legis.iowa.gov/docs/ico/chapter/508.37.pdf" Type="http://schemas.openxmlformats.org/officeDocument/2006/relationships/hyperlink" Id="rId7"/>
    <Relationship TargetMode="External" Target="https://www.legis.iowa.gov/docs/iac/rule/191.44.4.pdf" Type="http://schemas.openxmlformats.org/officeDocument/2006/relationships/hyperlink" Id="rId8"/>
    <Relationship TargetMode="External" Target="https://www.legis.iowa.gov/docs/ico/chapter/508.36.pdf" Type="http://schemas.openxmlformats.org/officeDocument/2006/relationships/hyperlink" Id="rId9"/>
    <Relationship TargetMode="External" Target="https://www.legis.iowa.gov/docs/iac/chapter/191.91.pdf" Type="http://schemas.openxmlformats.org/officeDocument/2006/relationships/hyperlink" Id="rId10"/>
    <Relationship TargetMode="External" Target="https://www.legis.iowa.gov/docs/ico/chapter/508.37.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