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w:t>
      </w:r>
    </w:p>
    <w:p>
      <w:pPr>
        <w:spacing w:before="0" w:after="0"/>
        <w:ind w:left="120"/>
        <w:jc w:val="center"/>
      </w:pPr>
      <w:r>
        <w:rPr>
          <w:rFonts w:ascii="Times New Roman" w:hAnsi="Times New Roman"/>
          <w:b w:val="false"/>
          <w:i w:val="false"/>
          <w:color w:val="000000"/>
          <w:sz w:val="21"/>
        </w:rPr>
        <w:t>ANNUITY MORTALITY TABLES FOR USE IN</w:t>
      </w:r>
      <w:r>
        <w:br/>
      </w:r>
      <w:r>
        <w:rPr>
          <w:rFonts w:ascii="Times New Roman" w:hAnsi="Times New Roman"/>
          <w:b w:val="false"/>
          <w:i w:val="false"/>
          <w:color w:val="000000"/>
          <w:sz w:val="21"/>
        </w:rPr>
        <w:t>DETERMINING RESERVE LIABILITIES FOR ANNUITIES</w:t>
      </w:r>
    </w:p>
    <w:p>
      <w:pPr>
        <w:spacing w:before="0" w:after="0"/>
        <w:ind w:left="120"/>
        <w:jc w:val="center"/>
      </w:pPr>
      <w:r>
        <w:rPr>
          <w:rFonts w:ascii="Times New Roman" w:hAnsi="Times New Roman"/>
          <w:b w:val="false"/>
          <w:i w:val="false"/>
          <w:color w:val="000000"/>
          <w:sz w:val="14"/>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191—43.1</w:t>
      </w:r>
      <w:r>
        <w:rPr>
          <w:rFonts w:ascii="Times New Roman" w:hAnsi="Times New Roman"/>
          <w:b/>
          <w:i w:val="false"/>
          <w:color w:val="000000"/>
          <w:sz w:val="22"/>
        </w:rPr>
        <w:t xml:space="preserve">(508)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recognize the following mortality tables for use in determining the minimum standard of valuation for annuity and pure endowment contracts: the 1983 Table “a” and 1983 Group Annuity Mortality (1983 GAM) Table, the Annuity 2000 Mortality Table, the 2012 Individual Annuity Reserving (2012 IAR) Table, and the 1994 Group Annuity Reserving (1994 GAR) Table.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1110C</w:t>
      </w:r>
      <w:r>
        <w:rPr>
          <w:rFonts w:ascii="Times New Roman" w:hAnsi="Times New Roman"/>
          <w:b w:val="false"/>
          <w:i w:val="false"/>
          <w:color w:val="000000"/>
          <w:sz w:val="16"/>
        </w:rPr>
        <w:t>, IAB 10/16/13, effective 1/1/15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191—43.2</w:t>
      </w:r>
      <w:r>
        <w:rPr>
          <w:rFonts w:ascii="Times New Roman" w:hAnsi="Times New Roman"/>
          <w:b/>
          <w:i w:val="false"/>
          <w:color w:val="000000"/>
          <w:sz w:val="22"/>
        </w:rPr>
        <w:t xml:space="preserve">(508)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“1983 GAM Table” </w:t>
      </w:r>
      <w:r>
        <w:rPr>
          <w:rFonts w:ascii="Times New Roman" w:hAnsi="Times New Roman"/>
          <w:b w:val="false"/>
          <w:i w:val="false"/>
          <w:color w:val="000000"/>
          <w:sz w:val="22"/>
        </w:rPr>
        <w:t>means that mortality table developed by the Society of Actuaries Committee on Annuities and adopted as a recognized mortality table for annuities in December 1983 by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“1983 Table ‘a’” </w:t>
      </w:r>
      <w:r>
        <w:rPr>
          <w:rFonts w:ascii="Times New Roman" w:hAnsi="Times New Roman"/>
          <w:b w:val="false"/>
          <w:i w:val="false"/>
          <w:color w:val="000000"/>
          <w:sz w:val="22"/>
        </w:rPr>
        <w:t>means that mortality table developed by the Society of Actuaries Committee to Recommend a New Mortality Basis for Individual Annuity Valuation and adopted as a recognized mortality table for annuities in June 1982 by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“1994 GAR Table” </w:t>
      </w:r>
      <w:r>
        <w:rPr>
          <w:rFonts w:ascii="Times New Roman" w:hAnsi="Times New Roman"/>
          <w:b w:val="false"/>
          <w:i w:val="false"/>
          <w:color w:val="000000"/>
          <w:sz w:val="22"/>
        </w:rPr>
        <w:t>means that mortality table developed by the Society of Actuaries Group Annuity Valuation Table Task Force and shown on pages 866 and 867 of Volume XLVII of the Transactions of the Society of Actuaries (1995). The 1994 GAR Table was adopted as a recognized mortality table for annuities in December 1996 by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“2012 IAR Table” </w:t>
      </w:r>
      <w:r>
        <w:rPr>
          <w:rFonts w:ascii="Times New Roman" w:hAnsi="Times New Roman"/>
          <w:b w:val="false"/>
          <w:i w:val="false"/>
          <w:color w:val="000000"/>
          <w:sz w:val="22"/>
        </w:rPr>
        <w:t xml:space="preserve">means the generational mortality table developed by the Society of Actuaries Committee on Life Insurance Research and containing rates, qx2012+n, derived from a combination of the 2012 IAM Period Table and Projection Scale G2, using the methodology stated in subrule </w:t>
      </w:r>
      <w:hyperlink r:id="rId5">
        <w:r>
          <w:rPr>
            <w:rStyle w:val="Hyperlink"/>
            <w:rFonts w:ascii="Times New Roman" w:hAnsi="Times New Roman"/>
            <w:b w:val="false"/>
            <w:i w:val="false"/>
            <w:color w:val="000000"/>
            <w:sz w:val="22"/>
          </w:rPr>
          <w:t>43.3(6)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“2012 Individual Annuity Mortality Period Life Table”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“2012 IAM Period” </w:t>
      </w:r>
      <w:r>
        <w:rPr>
          <w:rFonts w:ascii="Times New Roman" w:hAnsi="Times New Roman"/>
          <w:b w:val="false"/>
          <w:i w:val="false"/>
          <w:color w:val="000000"/>
          <w:sz w:val="22"/>
        </w:rPr>
        <w:t>means the period table containing loaded mortality rates for calendar year 2012. This table contains rates, qx2012+n, developed by the Society of Actuaries Committee on Life Insurance Research and is shown in Appendices I and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“Annuity 2000 Mortality Table” </w:t>
      </w:r>
      <w:r>
        <w:rPr>
          <w:rFonts w:ascii="Times New Roman" w:hAnsi="Times New Roman"/>
          <w:b w:val="false"/>
          <w:i w:val="false"/>
          <w:color w:val="000000"/>
          <w:sz w:val="22"/>
        </w:rPr>
        <w:t>means that mortality table developed by the Society of Actuaries Committee on Life Insurance Research and shown on page 240 of Volume XLVII of the Transactions of the Society of Actuaries (1995). The Annuity 2000 Mortality Table was adopted as a recognized mortality table for annuities in December 1996 by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“Generational mortality table” </w:t>
      </w:r>
      <w:r>
        <w:rPr>
          <w:rFonts w:ascii="Times New Roman" w:hAnsi="Times New Roman"/>
          <w:b w:val="false"/>
          <w:i w:val="false"/>
          <w:color w:val="000000"/>
          <w:sz w:val="22"/>
        </w:rPr>
        <w:t>means a mortality table containing a set of mortality rates that decrease for a given age from one year to the next based on a combination of a period table and a projection scale containing rates of mortality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“Period table” </w:t>
      </w:r>
      <w:r>
        <w:rPr>
          <w:rFonts w:ascii="Times New Roman" w:hAnsi="Times New Roman"/>
          <w:b w:val="false"/>
          <w:i w:val="false"/>
          <w:color w:val="000000"/>
          <w:sz w:val="22"/>
        </w:rPr>
        <w:t>means a table of mortality rates applicable to a given calendar year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“Projection Scale G2”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“Scale G2” </w:t>
      </w:r>
      <w:r>
        <w:rPr>
          <w:rFonts w:ascii="Times New Roman" w:hAnsi="Times New Roman"/>
          <w:b w:val="false"/>
          <w:i w:val="false"/>
          <w:color w:val="000000"/>
          <w:sz w:val="22"/>
        </w:rPr>
        <w:t>means a table of annual rates, G2x, of mortality improvement by age for projecting future mortality rates beyond calendar year 2012. This table was developed by the Society of Actuaries Committee on Life Insurance Research and is shown in Appendices III and IV.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1110C</w:t>
      </w:r>
      <w:r>
        <w:rPr>
          <w:rFonts w:ascii="Times New Roman" w:hAnsi="Times New Roman"/>
          <w:b w:val="false"/>
          <w:i w:val="false"/>
          <w:color w:val="000000"/>
          <w:sz w:val="16"/>
        </w:rPr>
        <w:t>, IAB 10/16/13, effective 1/1/15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191—43.3</w:t>
      </w:r>
      <w:r>
        <w:rPr>
          <w:rFonts w:ascii="Times New Roman" w:hAnsi="Times New Roman"/>
          <w:b/>
          <w:i w:val="false"/>
          <w:color w:val="000000"/>
          <w:sz w:val="22"/>
        </w:rPr>
        <w:t xml:space="preserve">(508) </w:t>
      </w:r>
      <w:r>
        <w:rPr>
          <w:rFonts w:ascii="Times New Roman" w:hAnsi="Times New Roman"/>
          <w:b/>
          <w:i w:val="false"/>
          <w:color w:val="000000"/>
          <w:sz w:val="22"/>
        </w:rPr>
        <w:t xml:space="preserve">Individual annuity or pure endowment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subrules </w:t>
      </w:r>
      <w:hyperlink r:id="rId6">
        <w:r>
          <w:rPr>
            <w:rStyle w:val="Hyperlink"/>
            <w:rFonts w:ascii="Times New Roman" w:hAnsi="Times New Roman"/>
            <w:b w:val="false"/>
            <w:i w:val="false"/>
            <w:color w:val="000000"/>
            <w:sz w:val="22"/>
          </w:rPr>
          <w:t>43.3(2)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43.3(3)</w:t>
        </w:r>
      </w:hyperlink>
      <w:r>
        <w:rPr>
          <w:rFonts w:ascii="Times New Roman" w:hAnsi="Times New Roman"/>
          <w:b w:val="false"/>
          <w:i w:val="false"/>
          <w:color w:val="000000"/>
          <w:sz w:val="22"/>
        </w:rPr>
        <w:t>, the 1983 Table “a” is recognized and approved as an individual annuity mortality table for valuation and, at the option of the company, may be used for purposes of determining the minimum standard of valuation for any individual annuity or pure endowment contract issued on or after January 1, 1980.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8">
        <w:r>
          <w:rPr>
            <w:rStyle w:val="Hyperlink"/>
            <w:rFonts w:ascii="Times New Roman" w:hAnsi="Times New Roman"/>
            <w:b w:val="false"/>
            <w:i w:val="false"/>
            <w:color w:val="000000"/>
            <w:sz w:val="22"/>
          </w:rPr>
          <w:t>43.3(3)</w:t>
        </w:r>
      </w:hyperlink>
      <w:r>
        <w:rPr>
          <w:rFonts w:ascii="Times New Roman" w:hAnsi="Times New Roman"/>
          <w:b w:val="false"/>
          <w:i w:val="false"/>
          <w:color w:val="000000"/>
          <w:sz w:val="22"/>
        </w:rPr>
        <w:t>, either the 1983 Table “a” or the Annuity 2000 Mortality Table shall be used for determining the minimum standard of valuation for any individual annuity or pure endowment contract issued on or after December 30, 1985.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9">
        <w:r>
          <w:rPr>
            <w:rStyle w:val="Hyperlink"/>
            <w:rFonts w:ascii="Times New Roman" w:hAnsi="Times New Roman"/>
            <w:b w:val="false"/>
            <w:i w:val="false"/>
            <w:color w:val="000000"/>
            <w:sz w:val="22"/>
          </w:rPr>
          <w:t>43.3(4)</w:t>
        </w:r>
      </w:hyperlink>
      <w:r>
        <w:rPr>
          <w:rFonts w:ascii="Times New Roman" w:hAnsi="Times New Roman"/>
          <w:b w:val="false"/>
          <w:i w:val="false"/>
          <w:color w:val="000000"/>
          <w:sz w:val="22"/>
        </w:rPr>
        <w:t>, the Annuity 2000 Mortality Table shall be used for determining the minimum standard of valuation for any individual annuity or pure endowment contract issued on or after January 1, 2000.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43.3(4)</w:t>
      </w:r>
      <w:r>
        <w:rPr>
          <w:rFonts w:ascii="Times New Roman" w:hAnsi="Times New Roman"/>
          <w:b w:val="false"/>
          <w:i w:val="false"/>
          <w:color w:val="000000"/>
          <w:sz w:val="22"/>
        </w:rPr>
        <w:t> </w:t>
      </w:r>
      <w:r>
        <w:rPr>
          <w:rFonts w:ascii="Times New Roman" w:hAnsi="Times New Roman"/>
          <w:b w:val="false"/>
          <w:i w:val="false"/>
          <w:color w:val="000000"/>
          <w:sz w:val="22"/>
        </w:rPr>
        <w:t>The 1983 Table “a” without projection is to be used for determining the minimum standard of valuation for an individual annuity or pure endowment contract issued on or after January 1, 2000, solely when the contract is based on life contingencies and is issued to fund periodic benefits arising from: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Settlements of various forms of claims pertaining to court settlements or out-of-court settlements from tort actions;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Settlements involving similar actions such as workers’ compensation claims;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Settlements of long-term disability claims where a temporary or life annuity has been used in lieu of continuing disability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10">
        <w:r>
          <w:rPr>
            <w:rStyle w:val="Hyperlink"/>
            <w:rFonts w:ascii="Times New Roman" w:hAnsi="Times New Roman"/>
            <w:b w:val="false"/>
            <w:i w:val="false"/>
            <w:color w:val="000000"/>
            <w:sz w:val="22"/>
          </w:rPr>
          <w:t>43.3(4)</w:t>
        </w:r>
      </w:hyperlink>
      <w:r>
        <w:rPr>
          <w:rFonts w:ascii="Times New Roman" w:hAnsi="Times New Roman"/>
          <w:b w:val="false"/>
          <w:i w:val="false"/>
          <w:color w:val="000000"/>
          <w:sz w:val="22"/>
        </w:rPr>
        <w:t xml:space="preserve">, the 2012 IAR Mortality Table may be used for determining the minimum standard of valuation for any individual annuity or pure endowment contract issued on or after January 1, 2015. For any individual annuity or pure endowment contract issued on or after January 1, 2016, except as provided in subrule </w:t>
      </w:r>
      <w:hyperlink r:id="rId11">
        <w:r>
          <w:rPr>
            <w:rStyle w:val="Hyperlink"/>
            <w:rFonts w:ascii="Times New Roman" w:hAnsi="Times New Roman"/>
            <w:b w:val="false"/>
            <w:i w:val="false"/>
            <w:color w:val="000000"/>
            <w:sz w:val="22"/>
          </w:rPr>
          <w:t>43.3(4)</w:t>
        </w:r>
      </w:hyperlink>
      <w:r>
        <w:rPr>
          <w:rFonts w:ascii="Times New Roman" w:hAnsi="Times New Roman"/>
          <w:b w:val="false"/>
          <w:i w:val="false"/>
          <w:color w:val="000000"/>
          <w:sz w:val="22"/>
        </w:rPr>
        <w:t>, the 2012 IAR Mortality Table shall be used as provided in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1110C</w:t>
      </w:r>
      <w:r>
        <w:rPr>
          <w:rFonts w:ascii="Times New Roman" w:hAnsi="Times New Roman"/>
          <w:b w:val="false"/>
          <w:i w:val="false"/>
          <w:color w:val="000000"/>
          <w:sz w:val="16"/>
        </w:rPr>
        <w:t>, IAB 10/16/13,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1843C</w:t>
      </w:r>
      <w:r>
        <w:rPr>
          <w:rFonts w:ascii="Times New Roman" w:hAnsi="Times New Roman"/>
          <w:b w:val="false"/>
          <w:i w:val="false"/>
          <w:color w:val="000000"/>
          <w:sz w:val="16"/>
        </w:rPr>
        <w:t>, IAB 2/4/15,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191—43.4</w:t>
      </w:r>
      <w:r>
        <w:rPr>
          <w:rFonts w:ascii="Times New Roman" w:hAnsi="Times New Roman"/>
          <w:b/>
          <w:i w:val="false"/>
          <w:color w:val="000000"/>
          <w:sz w:val="22"/>
        </w:rPr>
        <w:t xml:space="preserve">(508) </w:t>
      </w:r>
      <w:r>
        <w:rPr>
          <w:rFonts w:ascii="Times New Roman" w:hAnsi="Times New Roman"/>
          <w:b/>
          <w:i w:val="false"/>
          <w:color w:val="000000"/>
          <w:sz w:val="22"/>
        </w:rPr>
        <w:t xml:space="preserve">Group annuity or pure endowment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subrules </w:t>
      </w:r>
      <w:hyperlink r:id="rId12">
        <w:r>
          <w:rPr>
            <w:rStyle w:val="Hyperlink"/>
            <w:rFonts w:ascii="Times New Roman" w:hAnsi="Times New Roman"/>
            <w:b w:val="false"/>
            <w:i w:val="false"/>
            <w:color w:val="000000"/>
            <w:sz w:val="22"/>
          </w:rPr>
          <w:t>43.4(2)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43.4(3)</w:t>
        </w:r>
      </w:hyperlink>
      <w:r>
        <w:rPr>
          <w:rFonts w:ascii="Times New Roman" w:hAnsi="Times New Roman"/>
          <w:b w:val="false"/>
          <w:i w:val="false"/>
          <w:color w:val="000000"/>
          <w:sz w:val="22"/>
        </w:rPr>
        <w:t>, the 1983 GAM Table, the 1983 Table “a” and the 1994 GAR Table are recognized and approved as group annuity mortality tables for valuation and, at the option of the company, any one table may be used for purposes of valuation for any annuity or pure endowment purchased on or after January 1, 1980, under a group annuity or pure endowment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14">
        <w:r>
          <w:rPr>
            <w:rStyle w:val="Hyperlink"/>
            <w:rFonts w:ascii="Times New Roman" w:hAnsi="Times New Roman"/>
            <w:b w:val="false"/>
            <w:i w:val="false"/>
            <w:color w:val="000000"/>
            <w:sz w:val="22"/>
          </w:rPr>
          <w:t>43.4(3)</w:t>
        </w:r>
      </w:hyperlink>
      <w:r>
        <w:rPr>
          <w:rFonts w:ascii="Times New Roman" w:hAnsi="Times New Roman"/>
          <w:b w:val="false"/>
          <w:i w:val="false"/>
          <w:color w:val="000000"/>
          <w:sz w:val="22"/>
        </w:rPr>
        <w:t>, either the 1983 GAM Table or the 1994 GAR Table shall be used for determining the minimum standard of valuation for any annuity or pure endowment purchased on or after December 30, 1985, under a group annuity or pure endowment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43.4(3)</w:t>
      </w:r>
      <w:r>
        <w:rPr>
          <w:rFonts w:ascii="Times New Roman" w:hAnsi="Times New Roman"/>
          <w:b w:val="false"/>
          <w:i w:val="false"/>
          <w:color w:val="000000"/>
          <w:sz w:val="22"/>
        </w:rPr>
        <w:t> </w:t>
      </w:r>
      <w:r>
        <w:rPr>
          <w:rFonts w:ascii="Times New Roman" w:hAnsi="Times New Roman"/>
          <w:b w:val="false"/>
          <w:i w:val="false"/>
          <w:color w:val="000000"/>
          <w:sz w:val="22"/>
        </w:rPr>
        <w:t>The 1994 GAR Table shall be used for determining the minimum standard of valuation for any annuity or pure endowment purchased on or after January 1, 2000, under a group annuity or pure endowment contract.</w:t>
      </w:r>
    </w:p>
    <w:p>
      <w:pPr>
        <w:spacing w:before="0" w:after="0"/>
        <w:ind w:left="120"/>
        <w:jc w:val="both"/>
      </w:pPr>
      <w:r>
        <w:rPr>
          <w:rFonts w:ascii="Times New Roman" w:hAnsi="Times New Roman"/>
          <w:b/>
          <w:i w:val="false"/>
          <w:color w:val="000000"/>
          <w:sz w:val="22"/>
        </w:rPr>
        <w:t>191—43.5</w:t>
      </w:r>
      <w:r>
        <w:rPr>
          <w:rFonts w:ascii="Times New Roman" w:hAnsi="Times New Roman"/>
          <w:b/>
          <w:i w:val="false"/>
          <w:color w:val="000000"/>
          <w:sz w:val="22"/>
        </w:rPr>
        <w:t xml:space="preserve">(508) </w:t>
      </w:r>
      <w:r>
        <w:rPr>
          <w:rFonts w:ascii="Times New Roman" w:hAnsi="Times New Roman"/>
          <w:b/>
          <w:i w:val="false"/>
          <w:color w:val="000000"/>
          <w:sz w:val="22"/>
        </w:rPr>
        <w:t xml:space="preserve">Application of the 1994 GAR Table. </w:t>
      </w:r>
      <w:r>
        <w:rPr>
          <w:rFonts w:ascii="Times New Roman" w:hAnsi="Times New Roman"/>
          <w:b w:val="false"/>
          <w:i w:val="false"/>
          <w:color w:val="000000"/>
          <w:sz w:val="22"/>
        </w:rPr>
        <w:t>In using the 1994 GAR Table, the mortality rate for a person aged x in year (1994 + n) is calculated as follows:</w:t>
      </w:r>
    </w:p>
    <w:p>
      <w:pPr>
        <w:spacing w:before="0" w:after="0"/>
        <w:ind w:left="120"/>
        <w:jc w:val="center"/>
      </w:pPr>
      <w:r>
        <w:rPr>
          <w:rFonts w:ascii="Times New Roman" w:hAnsi="Times New Roman"/>
          <w:b w:val="false"/>
          <w:i w:val="false"/>
          <w:color w:val="000000"/>
          <w:sz w:val="22"/>
        </w:rPr>
        <w:t>q</w:t>
      </w:r>
      <w:r>
        <w:rPr>
          <w:rFonts w:ascii="Times New Roman" w:hAnsi="Times New Roman"/>
          <w:b w:val="false"/>
          <w:i w:val="false"/>
          <w:color w:val="000000"/>
          <w:sz w:val="18"/>
          <w:vertAlign w:val="subscript"/>
        </w:rPr>
        <w:t xml:space="preserve">x </w:t>
      </w:r>
      <w:r>
        <w:rPr>
          <w:rFonts w:ascii="Times New Roman" w:hAnsi="Times New Roman"/>
          <w:b w:val="false"/>
          <w:i w:val="false"/>
          <w:color w:val="000000"/>
          <w:sz w:val="18"/>
          <w:vertAlign w:val="superscript"/>
        </w:rPr>
        <w:t>1994+n</w:t>
      </w:r>
      <w:r>
        <w:rPr>
          <w:rFonts w:ascii="Times New Roman" w:hAnsi="Times New Roman"/>
          <w:b w:val="false"/>
          <w:i w:val="false"/>
          <w:color w:val="000000"/>
          <w:sz w:val="22"/>
        </w:rPr>
        <w:t xml:space="preserve"> = q</w:t>
      </w:r>
      <w:r>
        <w:rPr>
          <w:rFonts w:ascii="Times New Roman" w:hAnsi="Times New Roman"/>
          <w:b w:val="false"/>
          <w:i w:val="false"/>
          <w:color w:val="000000"/>
          <w:sz w:val="18"/>
          <w:vertAlign w:val="subscript"/>
        </w:rPr>
        <w:t>x</w:t>
      </w:r>
      <w:r>
        <w:rPr>
          <w:rFonts w:ascii="Times New Roman" w:hAnsi="Times New Roman"/>
          <w:b w:val="false"/>
          <w:i w:val="false"/>
          <w:color w:val="000000"/>
          <w:sz w:val="18"/>
          <w:vertAlign w:val="superscript"/>
        </w:rPr>
        <w:t>1994</w:t>
      </w:r>
      <w:r>
        <w:rPr>
          <w:rFonts w:ascii="Times New Roman" w:hAnsi="Times New Roman"/>
          <w:b w:val="false"/>
          <w:i w:val="false"/>
          <w:color w:val="000000"/>
          <w:sz w:val="22"/>
        </w:rPr>
        <w:t xml:space="preserve"> (1 - AA</w:t>
      </w:r>
      <w:r>
        <w:rPr>
          <w:rFonts w:ascii="Times New Roman" w:hAnsi="Times New Roman"/>
          <w:b w:val="false"/>
          <w:i w:val="false"/>
          <w:color w:val="000000"/>
          <w:sz w:val="18"/>
          <w:vertAlign w:val="subscript"/>
        </w:rPr>
        <w:t xml:space="preserve">x </w:t>
      </w:r>
      <w:r>
        <w:rPr>
          <w:rFonts w:ascii="Times New Roman" w:hAnsi="Times New Roman"/>
          <w:b w:val="false"/>
          <w:i w:val="false"/>
          <w:color w:val="000000"/>
          <w:sz w:val="22"/>
        </w:rPr>
        <w:t xml:space="preserve">) </w:t>
      </w:r>
      <w:r>
        <w:rPr>
          <w:rFonts w:ascii="Times New Roman" w:hAnsi="Times New Roman"/>
          <w:b w:val="false"/>
          <w:i w:val="false"/>
          <w:color w:val="000000"/>
          <w:sz w:val="18"/>
          <w:vertAlign w:val="superscript"/>
        </w:rPr>
        <w:t>n</w:t>
      </w:r>
    </w:p>
    <w:p>
      <w:pPr>
        <w:spacing w:before="0" w:after="0"/>
        <w:ind w:left="120"/>
        <w:jc w:val="both"/>
      </w:pPr>
      <w:r>
        <w:rPr>
          <w:rFonts w:ascii="Times New Roman" w:hAnsi="Times New Roman"/>
          <w:b w:val="false"/>
          <w:i w:val="false"/>
          <w:color w:val="000000"/>
          <w:sz w:val="22"/>
        </w:rPr>
        <w:t>where the q</w:t>
      </w:r>
      <w:r>
        <w:rPr>
          <w:rFonts w:ascii="Times New Roman" w:hAnsi="Times New Roman"/>
          <w:b w:val="false"/>
          <w:i w:val="false"/>
          <w:color w:val="000000"/>
          <w:sz w:val="18"/>
          <w:vertAlign w:val="subscript"/>
        </w:rPr>
        <w:t>x</w:t>
      </w:r>
      <w:r>
        <w:rPr>
          <w:rFonts w:ascii="Times New Roman" w:hAnsi="Times New Roman"/>
          <w:b w:val="false"/>
          <w:i w:val="false"/>
          <w:color w:val="000000"/>
          <w:sz w:val="18"/>
          <w:vertAlign w:val="superscript"/>
        </w:rPr>
        <w:t>1994</w:t>
      </w:r>
      <w:r>
        <w:rPr>
          <w:rFonts w:ascii="Times New Roman" w:hAnsi="Times New Roman"/>
          <w:b w:val="false"/>
          <w:i w:val="false"/>
          <w:color w:val="000000"/>
          <w:sz w:val="22"/>
        </w:rPr>
        <w:t xml:space="preserve"> and AA</w:t>
      </w:r>
      <w:r>
        <w:rPr>
          <w:rFonts w:ascii="Times New Roman" w:hAnsi="Times New Roman"/>
          <w:b w:val="false"/>
          <w:i w:val="false"/>
          <w:color w:val="000000"/>
          <w:sz w:val="18"/>
          <w:vertAlign w:val="subscript"/>
        </w:rPr>
        <w:t>x</w:t>
      </w:r>
      <w:r>
        <w:rPr>
          <w:rFonts w:ascii="Times New Roman" w:hAnsi="Times New Roman"/>
          <w:b w:val="false"/>
          <w:i w:val="false"/>
          <w:color w:val="000000"/>
          <w:sz w:val="22"/>
        </w:rPr>
        <w:t>s are as specified in the 1994 GAR Table.</w:t>
      </w:r>
    </w:p>
    <w:p>
      <w:pPr>
        <w:spacing w:before="0" w:after="0"/>
        <w:ind w:left="120"/>
        <w:jc w:val="both"/>
      </w:pPr>
      <w:r>
        <w:rPr>
          <w:rFonts w:ascii="Times New Roman" w:hAnsi="Times New Roman"/>
          <w:b/>
          <w:i w:val="false"/>
          <w:color w:val="000000"/>
          <w:sz w:val="22"/>
        </w:rPr>
        <w:t>191—43.6</w:t>
      </w:r>
      <w:r>
        <w:rPr>
          <w:rFonts w:ascii="Times New Roman" w:hAnsi="Times New Roman"/>
          <w:b/>
          <w:i w:val="false"/>
          <w:color w:val="000000"/>
          <w:sz w:val="22"/>
        </w:rPr>
        <w:t xml:space="preserve">(508) </w:t>
      </w:r>
      <w:r>
        <w:rPr>
          <w:rFonts w:ascii="Times New Roman" w:hAnsi="Times New Roman"/>
          <w:b/>
          <w:i w:val="false"/>
          <w:color w:val="000000"/>
          <w:sz w:val="22"/>
        </w:rPr>
        <w:t xml:space="preserve">Application of the 2012 IAR Mortality Table. </w:t>
      </w:r>
      <w:r>
        <w:rPr>
          <w:rFonts w:ascii="Times New Roman" w:hAnsi="Times New Roman"/>
          <w:b w:val="false"/>
          <w:i w:val="false"/>
          <w:color w:val="000000"/>
          <w:sz w:val="22"/>
        </w:rPr>
        <w:t>In using the 2012 IAR Mortality Table, the mortality rate for a person age x in year (2012 + n) is calculated as follows: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qx2012+n = qx2012 (1 - G2x)n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resulting qx2012+n shall be rounded to three decimal places per 1,000, e.g., 0.741 deaths per 1,000. Also, the rounding shall occur according to the formula above, starting at the 2012 period table rate.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example, for a male age 30, qx2012 = 0.741.</w:t>
      </w:r>
    </w:p>
    <w:p>
      <w:pPr>
        <w:spacing w:before="0" w:after="0"/>
        <w:ind w:left="120"/>
        <w:jc w:val="both"/>
      </w:pPr>
      <w:r>
        <w:rPr>
          <w:rFonts w:ascii="Times New Roman" w:hAnsi="Times New Roman"/>
          <w:b w:val="false"/>
          <w:i w:val="false"/>
          <w:color w:val="000000"/>
          <w:sz w:val="22"/>
        </w:rPr>
        <w:t>qx2013 = 0.741 * (1 – 0.010) ^ 1 = 0.73359, which is rounded to 0.734.</w:t>
      </w:r>
    </w:p>
    <w:p>
      <w:pPr>
        <w:spacing w:before="0" w:after="0"/>
        <w:ind w:left="120"/>
        <w:jc w:val="both"/>
      </w:pPr>
      <w:r>
        <w:rPr>
          <w:rFonts w:ascii="Times New Roman" w:hAnsi="Times New Roman"/>
          <w:b w:val="false"/>
          <w:i w:val="false"/>
          <w:color w:val="000000"/>
          <w:sz w:val="22"/>
        </w:rPr>
        <w:t>qx2014 = 0.741 * (1 – 0.010) ^ 2 = 0.7262541, which is rounded to 0.726.</w:t>
      </w:r>
    </w:p>
    <w:p>
      <w:pPr>
        <w:spacing w:before="0" w:after="0"/>
        <w:ind w:left="120"/>
        <w:jc w:val="both"/>
      </w:pPr>
      <w:r>
        <w:rPr>
          <w:rFonts w:ascii="Times New Roman" w:hAnsi="Times New Roman"/>
          <w:b w:val="false"/>
          <w:i w:val="false"/>
          <w:color w:val="000000"/>
          <w:sz w:val="22"/>
        </w:rPr>
        <w:t xml:space="preserve">A method leading to incorrect rounding would be to calculate qx2014 as qx2013 * (1 – 0.010), or 0.734 * 0.99 = 0.727. </w:t>
      </w:r>
    </w:p>
    <w:p>
      <w:pPr>
        <w:spacing w:before="0" w:after="0"/>
        <w:ind w:left="120"/>
        <w:jc w:val="both"/>
      </w:pPr>
      <w:r>
        <w:rPr>
          <w:rFonts w:ascii="Times New Roman" w:hAnsi="Times New Roman"/>
          <w:b w:val="false"/>
          <w:i w:val="false"/>
          <w:color w:val="000000"/>
          <w:sz w:val="22"/>
        </w:rPr>
        <w:t>It is incorrect to use the already rounded qx2013 to calculate qx2014.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1110C</w:t>
      </w:r>
      <w:r>
        <w:rPr>
          <w:rFonts w:ascii="Times New Roman" w:hAnsi="Times New Roman"/>
          <w:b w:val="false"/>
          <w:i w:val="false"/>
          <w:color w:val="000000"/>
          <w:sz w:val="16"/>
        </w:rPr>
        <w:t>, IAB 10/16/13, effective 1/1/15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191—43.7</w:t>
      </w:r>
      <w:r>
        <w:rPr>
          <w:rFonts w:ascii="Times New Roman" w:hAnsi="Times New Roman"/>
          <w:b/>
          <w:i w:val="false"/>
          <w:color w:val="000000"/>
          <w:sz w:val="22"/>
        </w:rPr>
        <w:t xml:space="preserve">(508) </w:t>
      </w:r>
      <w:r>
        <w:rPr>
          <w:rFonts w:ascii="Times New Roman" w:hAnsi="Times New Roman"/>
          <w:b/>
          <w:i w:val="false"/>
          <w:color w:val="000000"/>
          <w:sz w:val="22"/>
        </w:rPr>
        <w:t xml:space="preserve">Separability. </w:t>
      </w:r>
      <w:r>
        <w:rPr>
          <w:rFonts w:ascii="Times New Roman" w:hAnsi="Times New Roman"/>
          <w:b w:val="false"/>
          <w:i w:val="false"/>
          <w:color w:val="000000"/>
          <w:sz w:val="22"/>
        </w:rPr>
        <w:t>If any provision of this rule or the application thereof to any person or circumstances is for any reason held to be invalid, the remainder of the rule and the application of such provision to other persons or circumstances shall not be affected thereby.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1110C</w:t>
      </w:r>
      <w:r>
        <w:rPr>
          <w:rFonts w:ascii="Times New Roman" w:hAnsi="Times New Roman"/>
          <w:b w:val="false"/>
          <w:i w:val="false"/>
          <w:color w:val="000000"/>
          <w:sz w:val="16"/>
        </w:rPr>
        <w:t>, IAB 10/16/13, effective 1/1/15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508.36(3)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508.36(3)</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(c).</w:t>
      </w:r>
    </w:p>
    <w:p>
      <w:pPr>
        <w:spacing w:before="0" w:after="0"/>
        <w:ind w:left="120"/>
        <w:jc w:val="center"/>
      </w:pPr>
      <w:r>
        <w:rPr>
          <w:rFonts w:ascii="Times New Roman" w:hAnsi="Times New Roman"/>
          <w:b w:val="false"/>
          <w:i w:val="false"/>
          <w:color w:val="000000"/>
          <w:sz w:val="21"/>
        </w:rPr>
        <w:t>[Filed emergency 12/27/85—published 1/15/86, effective 12/30/85]</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8/20/99, Notice 7/14/99—published 9/8/99, effective 10/13/99]</w:t>
      </w:r>
    </w:p>
    <w:p>
      <w:pPr>
        <w:spacing w:before="0" w:after="0"/>
        <w:ind w:left="120"/>
        <w:jc w:val="center"/>
      </w:pPr>
      <w:r>
        <w:rPr>
          <w:rFonts w:ascii="Times New Roman" w:hAnsi="Times New Roman"/>
          <w:b w:val="false"/>
          <w:i w:val="false"/>
          <w:color w:val="000000"/>
          <w:sz w:val="21"/>
        </w:rPr>
        <w:t>[Filed ARC 1110C</w:t>
      </w:r>
      <w:r>
        <w:rPr>
          <w:rFonts w:ascii="Times New Roman" w:hAnsi="Times New Roman"/>
          <w:b w:val="false"/>
          <w:i w:val="false"/>
          <w:color w:val="000000"/>
          <w:sz w:val="21"/>
        </w:rPr>
        <w:t xml:space="preserve"> (Notice ARC 0959C, IAB 8/21/13)</w:t>
      </w:r>
      <w:r>
        <w:rPr>
          <w:rFonts w:ascii="Times New Roman" w:hAnsi="Times New Roman"/>
          <w:b w:val="false"/>
          <w:i w:val="false"/>
          <w:color w:val="000000"/>
          <w:sz w:val="21"/>
        </w:rPr>
        <w:t>, IAB 10/16/13, effective 1/1/15]</w:t>
      </w:r>
    </w:p>
    <w:p>
      <w:pPr>
        <w:spacing w:before="0" w:after="0"/>
        <w:ind w:left="120"/>
        <w:jc w:val="center"/>
      </w:pPr>
      <w:r>
        <w:rPr>
          <w:rFonts w:ascii="Times New Roman" w:hAnsi="Times New Roman"/>
          <w:b w:val="false"/>
          <w:i w:val="false"/>
          <w:color w:val="000000"/>
          <w:sz w:val="21"/>
        </w:rPr>
        <w:t>[Filed Emergency After Notice ARC 1843C</w:t>
      </w:r>
      <w:r>
        <w:rPr>
          <w:rFonts w:ascii="Times New Roman" w:hAnsi="Times New Roman"/>
          <w:b w:val="false"/>
          <w:i w:val="false"/>
          <w:color w:val="000000"/>
          <w:sz w:val="21"/>
        </w:rPr>
        <w:t xml:space="preserve"> (Notice ARC 1794C, IAB 12/10/14)</w:t>
      </w:r>
      <w:r>
        <w:rPr>
          <w:rFonts w:ascii="Times New Roman" w:hAnsi="Times New Roman"/>
          <w:b w:val="false"/>
          <w:i w:val="false"/>
          <w:color w:val="000000"/>
          <w:sz w:val="21"/>
        </w:rPr>
        <w:t>, IAB 2/4/15, effective 1/14/15]</w:t>
      </w:r>
    </w:p>
    <w:p>
      <w:pPr>
        <w:spacing w:before="0" w:after="0"/>
        <w:ind w:left="120"/>
        <w:jc w:val="center"/>
      </w:pPr>
      <w:r>
        <w:rPr>
          <w:rFonts w:ascii="Times New Roman" w:hAnsi="Times New Roman"/>
          <w:b w:val="false"/>
          <w:i w:val="false"/>
          <w:color w:val="000000"/>
          <w:sz w:val="22"/>
        </w:rPr>
        <w:t>APPENDIX I</w:t>
      </w:r>
    </w:p>
    <w:p>
      <w:pPr>
        <w:spacing w:before="0" w:after="0"/>
        <w:ind w:left="120"/>
        <w:jc w:val="center"/>
      </w:pPr>
      <w:r>
        <w:rPr>
          <w:rFonts w:ascii="Times New Roman" w:hAnsi="Times New Roman"/>
          <w:b w:val="false"/>
          <w:i w:val="false"/>
          <w:color w:val="000000"/>
          <w:sz w:val="22"/>
        </w:rPr>
        <w:t>2012 IAM Period Table</w:t>
      </w:r>
    </w:p>
    <w:p>
      <w:pPr>
        <w:spacing w:before="0" w:after="0"/>
        <w:ind w:left="120"/>
        <w:jc w:val="center"/>
      </w:pPr>
      <w:r>
        <w:rPr>
          <w:rFonts w:ascii="Times New Roman" w:hAnsi="Times New Roman"/>
          <w:b w:val="false"/>
          <w:i w:val="false"/>
          <w:color w:val="000000"/>
          <w:sz w:val="22"/>
        </w:rPr>
        <w:t>Female, Age Nearest Birthday</w:t>
      </w:r>
    </w:p>
    <w:tbl>
      <w:tblPr>
        <w:tblW w:w="5000" w:type="pct"/>
        <w:tblCellSpacing w:w="0" w:type="auto"/>
        <w:tblBorders>
          <w:top w:val="none"/>
          <w:left w:val="none"/>
          <w:bottom w:val="none"/>
          <w:right w:val="none"/>
          <w:insideH w:val="none"/>
          <w:insideV w:val="none"/>
        </w:tblBorders>
        <w:tblLayout w:type="fixed"/>
      </w:tblPr>
      <w:tblGrid>
        <w:gridCol w:w="343"/>
        <w:gridCol w:w="2455"/>
        <w:gridCol w:w="343"/>
        <w:gridCol w:w="2455"/>
        <w:gridCol w:w="343"/>
        <w:gridCol w:w="2455"/>
        <w:gridCol w:w="342"/>
        <w:gridCol w:w="2454"/>
      </w:tblGrid>
      <w:tr>
        <w:trPr>
          <w:trHeight w:val="31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AGE</w:t>
            </w:r>
          </w:p>
        </w:tc>
        <w:tc>
          <w:tcPr>
            <w:tcW w:w="24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7"/>
              </w:rPr>
              <w:t>1000 · q</w:t>
            </w:r>
            <w:r>
              <w:rPr>
                <w:rFonts w:ascii="Times New Roman" w:hAnsi="Times New Roman"/>
                <w:b w:val="false"/>
                <w:i w:val="false"/>
                <w:color w:val="000000"/>
                <w:sz w:val="18"/>
                <w:vertAlign w:val="subscript"/>
              </w:rPr>
              <w:t>x</w:t>
            </w:r>
            <w:r>
              <w:rPr>
                <w:rFonts w:ascii="Times New Roman" w:hAnsi="Times New Roman"/>
                <w:b w:val="false"/>
                <w:i w:val="false"/>
                <w:color w:val="000000"/>
                <w:sz w:val="18"/>
                <w:vertAlign w:val="superscript"/>
              </w:rPr>
              <w:t>2012</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AGE</w:t>
            </w:r>
          </w:p>
        </w:tc>
        <w:tc>
          <w:tcPr>
            <w:tcW w:w="24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7"/>
              </w:rPr>
              <w:t>1000 · q</w:t>
            </w:r>
            <w:r>
              <w:rPr>
                <w:rFonts w:ascii="Times New Roman" w:hAnsi="Times New Roman"/>
                <w:b w:val="false"/>
                <w:i w:val="false"/>
                <w:color w:val="000000"/>
                <w:sz w:val="18"/>
                <w:vertAlign w:val="subscript"/>
              </w:rPr>
              <w:t>x</w:t>
            </w:r>
            <w:r>
              <w:rPr>
                <w:rFonts w:ascii="Times New Roman" w:hAnsi="Times New Roman"/>
                <w:b w:val="false"/>
                <w:i w:val="false"/>
                <w:color w:val="000000"/>
                <w:sz w:val="18"/>
                <w:vertAlign w:val="superscript"/>
              </w:rPr>
              <w:t>2012</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AGE</w:t>
            </w:r>
          </w:p>
        </w:tc>
        <w:tc>
          <w:tcPr>
            <w:tcW w:w="24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7"/>
              </w:rPr>
              <w:t>1000 · q</w:t>
            </w:r>
            <w:r>
              <w:rPr>
                <w:rFonts w:ascii="Times New Roman" w:hAnsi="Times New Roman"/>
                <w:b w:val="false"/>
                <w:i w:val="false"/>
                <w:color w:val="000000"/>
                <w:sz w:val="18"/>
                <w:vertAlign w:val="subscript"/>
              </w:rPr>
              <w:t>x</w:t>
            </w:r>
            <w:r>
              <w:rPr>
                <w:rFonts w:ascii="Times New Roman" w:hAnsi="Times New Roman"/>
                <w:b w:val="false"/>
                <w:i w:val="false"/>
                <w:color w:val="000000"/>
                <w:sz w:val="18"/>
                <w:vertAlign w:val="superscript"/>
              </w:rPr>
              <w:t>2012</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AGE</w:t>
            </w:r>
          </w:p>
        </w:tc>
        <w:tc>
          <w:tcPr>
            <w:tcW w:w="245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7"/>
              </w:rPr>
              <w:t>1000 · q</w:t>
            </w:r>
            <w:r>
              <w:rPr>
                <w:rFonts w:ascii="Times New Roman" w:hAnsi="Times New Roman"/>
                <w:b w:val="false"/>
                <w:i w:val="false"/>
                <w:color w:val="000000"/>
                <w:sz w:val="18"/>
                <w:vertAlign w:val="subscript"/>
              </w:rPr>
              <w:t>x</w:t>
            </w:r>
            <w:r>
              <w:rPr>
                <w:rFonts w:ascii="Times New Roman" w:hAnsi="Times New Roman"/>
                <w:b w:val="false"/>
                <w:i w:val="false"/>
                <w:color w:val="000000"/>
                <w:sz w:val="18"/>
                <w:vertAlign w:val="superscript"/>
              </w:rPr>
              <w:t>2012</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1.621</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30</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0.300</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60</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3.460</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90</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88.377</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0.405</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31</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0.321</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61</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3.916</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91</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97.491</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0.259</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32</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0.338</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62</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4.409</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92</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107.269</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0.179</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33</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0.351</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63</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4.933</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93</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118.201</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0.137</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34</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0.365</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64</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5.507</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94</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130.969</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0.125</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35</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0.381</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65</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6.146</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95</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146.449</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0.117</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36</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0.402</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66</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6.551</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96</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163.908</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0.110</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37</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0.429</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67</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7.039</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97</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179.695</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0.095</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38</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0.463</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68</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7.628</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98</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196.151</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0.088</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39</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0.504</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69</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8.311</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99</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213.150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0.085</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0.552</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70</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9.074</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100</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230.722</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0.086</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41</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0.600</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71</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9.910</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101</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251.505</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12</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0.094</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42</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0.650</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72</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10.827</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102</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273.007</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13</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0.108</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43</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0.697</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73</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11.839</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103</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295.086</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14</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0.131</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44</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0.740</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74</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12.974</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104</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317.591</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15</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0.156</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45</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0.780</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75</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14.282</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105</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340.362</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16</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0.179</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46</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0.825</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76</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15.799</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106</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362.371</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17</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0.198</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47</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0.885</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77</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17.550</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107</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384.113</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18</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0.211</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48</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0.964</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78</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19.582</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108</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19</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0.221</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49</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1.051</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79</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21.970</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109</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20</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0.228</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50</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1.161</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80</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24.821</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110</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21</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0.234</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51</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1.308</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81</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28.351</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111</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22</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0.240</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52</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1.460</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82</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32.509</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112</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23</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0.245</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53</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1.613</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83</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37.329</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113</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24</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0.247</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54</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1.774</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84</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42.830</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114</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25</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0.250</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55</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1.950</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85</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48.997</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115</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26</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0.256</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56</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2.154</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86</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55.774</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116</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27</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0.261</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57</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2.399</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87</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63.140</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117</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28</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0.270</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58</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2.700</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88</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71.066</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118</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29</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0.281</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59</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3.054</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89</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79.502</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119</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120</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1000.000</w:t>
            </w:r>
          </w:p>
        </w:tc>
      </w:tr>
    </w:tbl>
    <w:p>
      <w:pPr>
        <w:pageBreakBefore/>
        <w:spacing w:before="0" w:after="0"/>
        <w:ind w:left="120"/>
        <w:jc w:val="left"/>
      </w:pPr>
    </w:p>
    <w:p>
      <w:pPr>
        <w:spacing w:before="0" w:after="0"/>
        <w:ind w:left="120"/>
        <w:jc w:val="center"/>
      </w:pPr>
      <w:r>
        <w:rPr>
          <w:rFonts w:ascii="Times New Roman" w:hAnsi="Times New Roman"/>
          <w:b w:val="false"/>
          <w:i w:val="false"/>
          <w:color w:val="000000"/>
          <w:sz w:val="22"/>
        </w:rPr>
        <w:t>APPENDIX II</w:t>
      </w:r>
    </w:p>
    <w:p>
      <w:pPr>
        <w:spacing w:before="0" w:after="0"/>
        <w:ind w:left="120"/>
        <w:jc w:val="center"/>
      </w:pPr>
      <w:r>
        <w:rPr>
          <w:rFonts w:ascii="Times New Roman" w:hAnsi="Times New Roman"/>
          <w:b w:val="false"/>
          <w:i w:val="false"/>
          <w:color w:val="000000"/>
          <w:sz w:val="22"/>
        </w:rPr>
        <w:t>2012 IAM Period Table</w:t>
      </w:r>
    </w:p>
    <w:p>
      <w:pPr>
        <w:spacing w:before="0" w:after="0"/>
        <w:ind w:left="120"/>
        <w:jc w:val="center"/>
      </w:pPr>
      <w:r>
        <w:rPr>
          <w:rFonts w:ascii="Times New Roman" w:hAnsi="Times New Roman"/>
          <w:b w:val="false"/>
          <w:i w:val="false"/>
          <w:color w:val="000000"/>
          <w:sz w:val="22"/>
        </w:rPr>
        <w:t>Male, Age Nearest Birthday</w:t>
      </w:r>
    </w:p>
    <w:tbl>
      <w:tblPr>
        <w:tblW w:w="5000" w:type="pct"/>
        <w:tblCellSpacing w:w="0" w:type="auto"/>
        <w:tblBorders>
          <w:top w:val="none"/>
          <w:left w:val="none"/>
          <w:bottom w:val="none"/>
          <w:right w:val="none"/>
          <w:insideH w:val="none"/>
          <w:insideV w:val="none"/>
        </w:tblBorders>
        <w:tblLayout w:type="fixed"/>
      </w:tblPr>
      <w:tblGrid>
        <w:gridCol w:w="343"/>
        <w:gridCol w:w="2455"/>
        <w:gridCol w:w="343"/>
        <w:gridCol w:w="2455"/>
        <w:gridCol w:w="343"/>
        <w:gridCol w:w="2455"/>
        <w:gridCol w:w="342"/>
        <w:gridCol w:w="2454"/>
      </w:tblGrid>
      <w:tr>
        <w:trPr>
          <w:trHeight w:val="31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AGE</w:t>
            </w:r>
          </w:p>
        </w:tc>
        <w:tc>
          <w:tcPr>
            <w:tcW w:w="24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7"/>
              </w:rPr>
              <w:t>1000 · q</w:t>
            </w:r>
            <w:r>
              <w:rPr>
                <w:rFonts w:ascii="Times New Roman" w:hAnsi="Times New Roman"/>
                <w:b w:val="false"/>
                <w:i w:val="false"/>
                <w:color w:val="000000"/>
                <w:sz w:val="18"/>
                <w:vertAlign w:val="subscript"/>
              </w:rPr>
              <w:t>x</w:t>
            </w:r>
            <w:r>
              <w:rPr>
                <w:rFonts w:ascii="Times New Roman" w:hAnsi="Times New Roman"/>
                <w:b w:val="false"/>
                <w:i w:val="false"/>
                <w:color w:val="000000"/>
                <w:sz w:val="18"/>
                <w:vertAlign w:val="superscript"/>
              </w:rPr>
              <w:t>2012</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AGE</w:t>
            </w:r>
          </w:p>
        </w:tc>
        <w:tc>
          <w:tcPr>
            <w:tcW w:w="24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7"/>
              </w:rPr>
              <w:t>1000 · q</w:t>
            </w:r>
            <w:r>
              <w:rPr>
                <w:rFonts w:ascii="Times New Roman" w:hAnsi="Times New Roman"/>
                <w:b w:val="false"/>
                <w:i w:val="false"/>
                <w:color w:val="000000"/>
                <w:sz w:val="18"/>
                <w:vertAlign w:val="subscript"/>
              </w:rPr>
              <w:t>x</w:t>
            </w:r>
            <w:r>
              <w:rPr>
                <w:rFonts w:ascii="Times New Roman" w:hAnsi="Times New Roman"/>
                <w:b w:val="false"/>
                <w:i w:val="false"/>
                <w:color w:val="000000"/>
                <w:sz w:val="18"/>
                <w:vertAlign w:val="superscript"/>
              </w:rPr>
              <w:t>2012</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AGE</w:t>
            </w:r>
          </w:p>
        </w:tc>
        <w:tc>
          <w:tcPr>
            <w:tcW w:w="24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7"/>
              </w:rPr>
              <w:t>1000 · q</w:t>
            </w:r>
            <w:r>
              <w:rPr>
                <w:rFonts w:ascii="Times New Roman" w:hAnsi="Times New Roman"/>
                <w:b w:val="false"/>
                <w:i w:val="false"/>
                <w:color w:val="000000"/>
                <w:sz w:val="18"/>
                <w:vertAlign w:val="subscript"/>
              </w:rPr>
              <w:t>x</w:t>
            </w:r>
            <w:r>
              <w:rPr>
                <w:rFonts w:ascii="Times New Roman" w:hAnsi="Times New Roman"/>
                <w:b w:val="false"/>
                <w:i w:val="false"/>
                <w:color w:val="000000"/>
                <w:sz w:val="18"/>
                <w:vertAlign w:val="superscript"/>
              </w:rPr>
              <w:t>2012</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AGE</w:t>
            </w:r>
          </w:p>
        </w:tc>
        <w:tc>
          <w:tcPr>
            <w:tcW w:w="245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7"/>
              </w:rPr>
              <w:t>1000 · q</w:t>
            </w:r>
            <w:r>
              <w:rPr>
                <w:rFonts w:ascii="Times New Roman" w:hAnsi="Times New Roman"/>
                <w:b w:val="false"/>
                <w:i w:val="false"/>
                <w:color w:val="000000"/>
                <w:sz w:val="18"/>
                <w:vertAlign w:val="subscript"/>
              </w:rPr>
              <w:t>x</w:t>
            </w:r>
            <w:r>
              <w:rPr>
                <w:rFonts w:ascii="Times New Roman" w:hAnsi="Times New Roman"/>
                <w:b w:val="false"/>
                <w:i w:val="false"/>
                <w:color w:val="000000"/>
                <w:sz w:val="18"/>
                <w:vertAlign w:val="superscript"/>
              </w:rPr>
              <w:t>2012</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1.605</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30</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0.741</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60</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5.096</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90</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109.993</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0.401</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31</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0.751</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61</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5.614</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91</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123.119</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0.275</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32</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0.754</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62</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6.169</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92</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137.168</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0.229</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33</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0.756</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63</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6.759</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93</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152.171</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0.174</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34</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0.756</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64</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7.398</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94</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168.194</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0.168</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35</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0.756</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65</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8.106</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95</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185.260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0.165</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36</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0.756</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66</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8.548</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96</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197.322</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0.159</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37</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0.756</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67</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9.076</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97</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214.751</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0.143</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38</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0.756</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68</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9.708</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98</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232.507</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0.129</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39</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0.800</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69</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10.463</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99</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250.397</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0.113</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0.859</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70</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11.357</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100</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268.607</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0.111</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41</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0.926</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71</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12.418</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101</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290.016</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12</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0.132</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42</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0.999</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72</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13.675</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102</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311.849</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13</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0.169</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43</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1.069</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73</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15.150</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103</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333.962</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14</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0.213</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44</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1.142</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74</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16.860</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104</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356.207</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15</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0.254</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45</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1.219</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75</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18.815</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105</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380.000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16</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0.293</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46</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1.318</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76</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21.031</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106</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17</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0.328</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47</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1.454</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77</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23.540</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107</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18</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0.359</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48</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1.627</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78</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26.375</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108</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19</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0.387</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49</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1.829</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79</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29.572</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109</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20</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0.414</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50</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2.057</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80</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33.234</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110</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21</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0.443</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51</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2.302</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81</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37.533</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111</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22</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0.473</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52</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2.545</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82</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42.261</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112</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23</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0.513</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53</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2.779</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83</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47.441</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113</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24</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0.554</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54</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3.011</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84</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53.233</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114</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25</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0.602</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55</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3.254</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85</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59.855</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115</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26</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0.655</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56</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3.529</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86</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67.514</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116</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27</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0.688</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57</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3.845</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87</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76.340</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117</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28</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0.710</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58</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4.213</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88</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86.388</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118</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29</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0.727</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59</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4.631</w:t>
            </w:r>
          </w:p>
        </w:tc>
        <w:tc>
          <w:tcPr>
            <w:tcW w:w="34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89</w:t>
            </w:r>
          </w:p>
        </w:tc>
        <w:tc>
          <w:tcPr>
            <w:tcW w:w="245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97.634</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119</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400.000</w:t>
            </w:r>
          </w:p>
        </w:tc>
      </w:tr>
      <w:tr>
        <w:trPr>
          <w:trHeight w:val="225" w:hRule="atLeast"/>
        </w:trPr>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3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24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34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120</w:t>
            </w:r>
          </w:p>
        </w:tc>
        <w:tc>
          <w:tcPr>
            <w:tcW w:w="245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7"/>
              </w:rPr>
              <w:t>1000.000</w:t>
            </w:r>
          </w:p>
        </w:tc>
      </w:tr>
    </w:tbl>
    <w:p>
      <w:pPr>
        <w:pageBreakBefore/>
        <w:spacing w:before="0" w:after="0"/>
        <w:ind w:left="120"/>
        <w:jc w:val="left"/>
      </w:pPr>
    </w:p>
    <w:p>
      <w:pPr>
        <w:spacing w:before="0" w:after="0"/>
        <w:ind w:left="120"/>
        <w:jc w:val="center"/>
      </w:pPr>
      <w:r>
        <w:rPr>
          <w:rFonts w:ascii="Times New Roman" w:hAnsi="Times New Roman"/>
          <w:b w:val="false"/>
          <w:i w:val="false"/>
          <w:color w:val="000000"/>
          <w:sz w:val="22"/>
        </w:rPr>
        <w:t>APPENDIX III</w:t>
      </w:r>
    </w:p>
    <w:p>
      <w:pPr>
        <w:spacing w:before="0" w:after="0"/>
        <w:ind w:left="120"/>
        <w:jc w:val="center"/>
      </w:pPr>
      <w:r>
        <w:rPr>
          <w:rFonts w:ascii="Times New Roman" w:hAnsi="Times New Roman"/>
          <w:b w:val="false"/>
          <w:i w:val="false"/>
          <w:color w:val="000000"/>
          <w:sz w:val="22"/>
        </w:rPr>
        <w:t>Projection Scale G2</w:t>
      </w:r>
    </w:p>
    <w:p>
      <w:pPr>
        <w:spacing w:before="0" w:after="0"/>
        <w:ind w:left="120"/>
        <w:jc w:val="center"/>
      </w:pPr>
      <w:r>
        <w:rPr>
          <w:rFonts w:ascii="Times New Roman" w:hAnsi="Times New Roman"/>
          <w:b w:val="false"/>
          <w:i w:val="false"/>
          <w:color w:val="000000"/>
          <w:sz w:val="22"/>
        </w:rPr>
        <w:t>Female, Age Nearest Birthday</w:t>
      </w:r>
    </w:p>
    <w:tbl>
      <w:tblPr>
        <w:tblW w:w="5000" w:type="pct"/>
        <w:tblCellSpacing w:w="0" w:type="auto"/>
        <w:tblBorders>
          <w:top w:val="none"/>
          <w:left w:val="none"/>
          <w:bottom w:val="none"/>
          <w:right w:val="none"/>
          <w:insideH w:val="none"/>
          <w:insideV w:val="none"/>
        </w:tblBorders>
        <w:tblLayout w:type="fixed"/>
      </w:tblPr>
      <w:tblGrid>
        <w:gridCol w:w="1015"/>
        <w:gridCol w:w="1783"/>
        <w:gridCol w:w="1015"/>
        <w:gridCol w:w="1783"/>
        <w:gridCol w:w="1015"/>
        <w:gridCol w:w="1783"/>
        <w:gridCol w:w="1014"/>
        <w:gridCol w:w="1782"/>
      </w:tblGrid>
      <w:tr>
        <w:trPr>
          <w:trHeight w:val="27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AGE</w:t>
            </w:r>
          </w:p>
        </w:tc>
        <w:tc>
          <w:tcPr>
            <w:tcW w:w="17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G2x</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AGE</w:t>
            </w:r>
          </w:p>
        </w:tc>
        <w:tc>
          <w:tcPr>
            <w:tcW w:w="17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G2x</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AGE</w:t>
            </w:r>
          </w:p>
        </w:tc>
        <w:tc>
          <w:tcPr>
            <w:tcW w:w="17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G2x</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AGE</w:t>
            </w:r>
          </w:p>
        </w:tc>
        <w:tc>
          <w:tcPr>
            <w:tcW w:w="178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G2x</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30</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60</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90</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0.006</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31</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61</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91</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0.006</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32</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62</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92</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0.005</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33</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63</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93</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0.005</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34</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64</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94</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0.004</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35</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65</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95</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0.004</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36</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66</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96</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0.004</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37</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67</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97</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0.003</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38</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68</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98</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0.003</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39</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69</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99</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0.002</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40</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70</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100</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0.002</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41</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71</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101</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0.002</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12</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42</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72</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102</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0.001</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13</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43</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73</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103</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0.001</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14</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44</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74</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104</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15</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45</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75</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105</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16</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46</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76</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106</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17</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47</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77</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107</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18</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48</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78</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108</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19</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49</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79</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109</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20</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50</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80</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110</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21</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51</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81</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0.012</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111</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22</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52</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0.011</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82</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0.012</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112</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23</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53</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0.011</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83</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0.011</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113</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24</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54</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0.011</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84</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114</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25</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55</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0.012</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85</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115</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26</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56</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0.012</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86</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0.009</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116</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27</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57</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0.012</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87</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0.008</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117</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28</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58</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0.012</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88</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0.007</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118</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29</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59</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89</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0.007</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119</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120</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bl>
    <w:p>
      <w:pPr>
        <w:pageBreakBefore/>
        <w:spacing w:before="0" w:after="0"/>
        <w:ind w:left="120"/>
        <w:jc w:val="left"/>
      </w:pPr>
    </w:p>
    <w:p>
      <w:pPr>
        <w:spacing w:before="0" w:after="0"/>
        <w:ind w:left="120"/>
        <w:jc w:val="center"/>
      </w:pPr>
      <w:r>
        <w:rPr>
          <w:rFonts w:ascii="Times New Roman" w:hAnsi="Times New Roman"/>
          <w:b w:val="false"/>
          <w:i w:val="false"/>
          <w:color w:val="000000"/>
          <w:sz w:val="22"/>
        </w:rPr>
        <w:t>APPENDIX IV</w:t>
      </w:r>
    </w:p>
    <w:p>
      <w:pPr>
        <w:spacing w:before="0" w:after="0"/>
        <w:ind w:left="120"/>
        <w:jc w:val="center"/>
      </w:pPr>
      <w:r>
        <w:rPr>
          <w:rFonts w:ascii="Times New Roman" w:hAnsi="Times New Roman"/>
          <w:b w:val="false"/>
          <w:i w:val="false"/>
          <w:color w:val="000000"/>
          <w:sz w:val="22"/>
        </w:rPr>
        <w:t>Projection Scale G2</w:t>
      </w:r>
    </w:p>
    <w:p>
      <w:pPr>
        <w:spacing w:before="0" w:after="0"/>
        <w:ind w:left="120"/>
        <w:jc w:val="center"/>
      </w:pPr>
      <w:r>
        <w:rPr>
          <w:rFonts w:ascii="Times New Roman" w:hAnsi="Times New Roman"/>
          <w:b w:val="false"/>
          <w:i w:val="false"/>
          <w:color w:val="000000"/>
          <w:sz w:val="22"/>
        </w:rPr>
        <w:t>Male, Age Nearest Birthday</w:t>
      </w:r>
    </w:p>
    <w:tbl>
      <w:tblPr>
        <w:tblW w:w="5000" w:type="pct"/>
        <w:tblCellSpacing w:w="0" w:type="auto"/>
        <w:tblBorders>
          <w:top w:val="none"/>
          <w:left w:val="none"/>
          <w:bottom w:val="none"/>
          <w:right w:val="none"/>
          <w:insideH w:val="none"/>
          <w:insideV w:val="none"/>
        </w:tblBorders>
        <w:tblLayout w:type="fixed"/>
      </w:tblPr>
      <w:tblGrid>
        <w:gridCol w:w="1015"/>
        <w:gridCol w:w="1783"/>
        <w:gridCol w:w="1015"/>
        <w:gridCol w:w="1783"/>
        <w:gridCol w:w="1015"/>
        <w:gridCol w:w="1783"/>
        <w:gridCol w:w="1014"/>
        <w:gridCol w:w="1782"/>
      </w:tblGrid>
      <w:tr>
        <w:trPr>
          <w:trHeight w:val="27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AGE</w:t>
            </w:r>
          </w:p>
        </w:tc>
        <w:tc>
          <w:tcPr>
            <w:tcW w:w="17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G2x</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AGE</w:t>
            </w:r>
          </w:p>
        </w:tc>
        <w:tc>
          <w:tcPr>
            <w:tcW w:w="17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G2x</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AGE</w:t>
            </w:r>
          </w:p>
        </w:tc>
        <w:tc>
          <w:tcPr>
            <w:tcW w:w="178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G2x</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21"/>
              </w:rPr>
              <w:t>AGE</w:t>
            </w:r>
          </w:p>
        </w:tc>
        <w:tc>
          <w:tcPr>
            <w:tcW w:w="178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1"/>
              </w:rPr>
              <w:t>G2x</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30</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60</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90</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0.007</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31</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61</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91</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0.007</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32</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62</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92</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0.006</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33</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63</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93</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0.005</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34</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64</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94</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0.005</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35</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65</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95</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0.004</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36</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66</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96</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0.004</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37</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67</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97</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0.003</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38</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68</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98</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0.003</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39</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69</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99</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0.002</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40</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70</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100</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0.002</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41</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71</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101</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0.002</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12</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42</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72</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102</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0.001</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13</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43</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73</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103</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0.001</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14</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44</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74</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104</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15</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45</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75</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105</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16</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46</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76</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106</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17</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47</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77</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107</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18</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48</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78</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108</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19</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49</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79</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109</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20</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50</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80</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110</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21</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51</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0.011</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81</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0.014</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111</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22</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52</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0.011</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82</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112</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23</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53</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0.012</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83</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113</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24</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54</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0.012</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84</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0.012</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114</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25</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55</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85</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0.011</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115</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26</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56</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0.013</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86</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116</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27</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57</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0.014</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87</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0.009</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117</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28</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58</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0.014</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88</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0.009</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118</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29</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0.010</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59</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0.015</w:t>
            </w:r>
          </w:p>
        </w:tc>
        <w:tc>
          <w:tcPr>
            <w:tcW w:w="101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89</w:t>
            </w:r>
          </w:p>
        </w:tc>
        <w:tc>
          <w:tcPr>
            <w:tcW w:w="178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0.008</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119</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r>
        <w:trPr>
          <w:trHeight w:val="240" w:hRule="atLeast"/>
        </w:trPr>
        <w:tc>
          <w:tcPr>
            <w:tcW w:w="10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7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14"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120</w:t>
            </w:r>
          </w:p>
        </w:tc>
        <w:tc>
          <w:tcPr>
            <w:tcW w:w="178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0.000</w:t>
            </w:r>
          </w:p>
        </w:tc>
      </w:tr>
    </w:tbl>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1.43.3.pdf" Type="http://schemas.openxmlformats.org/officeDocument/2006/relationships/hyperlink" Id="rId5"/>
    <Relationship TargetMode="External" Target="https://www.legis.iowa.gov/docs/iac/rule/191.43.3.pdf" Type="http://schemas.openxmlformats.org/officeDocument/2006/relationships/hyperlink" Id="rId6"/>
    <Relationship TargetMode="External" Target="https://www.legis.iowa.gov/docs/iac/rule/191.43.3.pdf" Type="http://schemas.openxmlformats.org/officeDocument/2006/relationships/hyperlink" Id="rId7"/>
    <Relationship TargetMode="External" Target="https://www.legis.iowa.gov/docs/iac/rule/191.43.3.pdf" Type="http://schemas.openxmlformats.org/officeDocument/2006/relationships/hyperlink" Id="rId8"/>
    <Relationship TargetMode="External" Target="https://www.legis.iowa.gov/docs/iac/rule/191.43.3.pdf" Type="http://schemas.openxmlformats.org/officeDocument/2006/relationships/hyperlink" Id="rId9"/>
    <Relationship TargetMode="External" Target="https://www.legis.iowa.gov/docs/iac/rule/191.43.3.pdf" Type="http://schemas.openxmlformats.org/officeDocument/2006/relationships/hyperlink" Id="rId10"/>
    <Relationship TargetMode="External" Target="https://www.legis.iowa.gov/docs/iac/rule/191.43.3.pdf" Type="http://schemas.openxmlformats.org/officeDocument/2006/relationships/hyperlink" Id="rId11"/>
    <Relationship TargetMode="External" Target="https://www.legis.iowa.gov/docs/iac/rule/191.43.4.pdf" Type="http://schemas.openxmlformats.org/officeDocument/2006/relationships/hyperlink" Id="rId12"/>
    <Relationship TargetMode="External" Target="https://www.legis.iowa.gov/docs/iac/rule/191.43.4.pdf" Type="http://schemas.openxmlformats.org/officeDocument/2006/relationships/hyperlink" Id="rId13"/>
    <Relationship TargetMode="External" Target="https://www.legis.iowa.gov/docs/iac/rule/191.43.4.pdf" Type="http://schemas.openxmlformats.org/officeDocument/2006/relationships/hyperlink" Id="rId14"/>
    <Relationship TargetMode="External" Target="https://www.legis.iowa.gov/docs/ico/chapter/508.36.pdf" Type="http://schemas.openxmlformats.org/officeDocument/2006/relationships/hyperlink" Id="rId15"/>
    <Relationship TargetMode="External" Target="https://www.legis.iowa.gov/docs/ico/chapter/508.36.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