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GENDER-BLENDED MINIMUM NONFORFEITURE</w:t>
      </w:r>
      <w:r>
        <w:br/>
      </w:r>
      <w:r>
        <w:rPr>
          <w:rFonts w:ascii="Times New Roman" w:hAnsi="Times New Roman"/>
          <w:b w:val="false"/>
          <w:i w:val="false"/>
          <w:color w:val="000000"/>
          <w:sz w:val="21"/>
        </w:rPr>
        <w:t>STANDARDS FOR LIFE INSURANCE</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191—42.1</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rule is to permit life insurance policies to provide the same cash surrender values and paid-up nonforfeiture benefits to both men and women. No change in minimum valuation standards is implied by this rule.</w:t>
      </w:r>
    </w:p>
    <w:p>
      <w:pPr>
        <w:spacing w:before="0" w:after="0"/>
        <w:ind w:left="120"/>
        <w:jc w:val="both"/>
      </w:pPr>
      <w:r>
        <w:rPr>
          <w:rFonts w:ascii="Times New Roman" w:hAnsi="Times New Roman"/>
          <w:b/>
          <w:i w:val="false"/>
          <w:color w:val="000000"/>
          <w:sz w:val="22"/>
        </w:rPr>
        <w:t>191—42.2</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“1980 CSO Table, with or without Ten-Year Select Mortality Factors” </w:t>
      </w:r>
      <w:r>
        <w:rPr>
          <w:rFonts w:ascii="Times New Roman" w:hAnsi="Times New Roman"/>
          <w:b w:val="false"/>
          <w:i w:val="false"/>
          <w:color w:val="000000"/>
          <w:sz w:val="22"/>
        </w:rPr>
        <w:t>means that mortality table, consisting of separate rates of mortality for male and female lives, developed by the Society of Actuaries Committee to Recommend New Mortality Tables for Valuation of Standard Individual Ordinary Life Insurance, incorporated in the 1980 NAIC Amendments to the Model Standard Valuation Law and Standard Nonforfeiture Law for Life Insurance, and referred to in those models as the Commissioners 1980 Standard Ordinary Mortality Table, with or without Ten-Year Select Mortality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“1980 CSO Table (M), with or without Ten-Year Select Mortality Factors” </w:t>
      </w:r>
      <w:r>
        <w:rPr>
          <w:rFonts w:ascii="Times New Roman" w:hAnsi="Times New Roman"/>
          <w:b w:val="false"/>
          <w:i w:val="false"/>
          <w:color w:val="000000"/>
          <w:sz w:val="22"/>
        </w:rPr>
        <w:t>means that mortality table consisting of the rates of mortality for male lives from the 1980 CSO Table with or without Ten-Year Select Mortality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“1980 CSO Table (F), with or without Ten-Year Select Mortality Factors” </w:t>
      </w:r>
      <w:r>
        <w:rPr>
          <w:rFonts w:ascii="Times New Roman" w:hAnsi="Times New Roman"/>
          <w:b w:val="false"/>
          <w:i w:val="false"/>
          <w:color w:val="000000"/>
          <w:sz w:val="22"/>
        </w:rPr>
        <w:t>means that mortality table consisting of the rates of mortality for female lives from the 1980 CSO Table, with or without Ten-Year Select Mortality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“1980 CET Table” </w:t>
      </w:r>
      <w:r>
        <w:rPr>
          <w:rFonts w:ascii="Times New Roman" w:hAnsi="Times New Roman"/>
          <w:b w:val="false"/>
          <w:i w:val="false"/>
          <w:color w:val="000000"/>
          <w:sz w:val="22"/>
        </w:rPr>
        <w:t>means that mortality table consisting of separate rates of mortality for male and female lives, developed by the Society of Actuaries Committee to Recommend New Mortality Tables for Valuation of Standard Individual Ordinary Life Insurance, incorporated in the 1980 NAIC Amendments to the Model Standard Valuation Law and Standard Nonforfeiture Law for Life Insurance, and referred to in those models as the Commissioners 1980 Extended Term Insurance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“1980 CET Table (M)” </w:t>
      </w:r>
      <w:r>
        <w:rPr>
          <w:rFonts w:ascii="Times New Roman" w:hAnsi="Times New Roman"/>
          <w:b w:val="false"/>
          <w:i w:val="false"/>
          <w:color w:val="000000"/>
          <w:sz w:val="22"/>
        </w:rPr>
        <w:t>means that mortality table consisting of the rates of mortality for male lives from the 1980 CET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“1980 CET Table (F)” </w:t>
      </w:r>
      <w:r>
        <w:rPr>
          <w:rFonts w:ascii="Times New Roman" w:hAnsi="Times New Roman"/>
          <w:b w:val="false"/>
          <w:i w:val="false"/>
          <w:color w:val="000000"/>
          <w:sz w:val="22"/>
        </w:rPr>
        <w:t>means that mortality table consisting of the rates of mortality for female lives from the 1980 CET Table.</w:t>
      </w:r>
    </w:p>
    <w:p>
      <w:pPr>
        <w:spacing w:before="0" w:after="0"/>
        <w:ind w:left="120"/>
        <w:jc w:val="both"/>
      </w:pPr>
      <w:r>
        <w:rPr>
          <w:rFonts w:ascii="Times New Roman" w:hAnsi="Times New Roman"/>
          <w:b/>
          <w:i w:val="false"/>
          <w:color w:val="000000"/>
          <w:sz w:val="22"/>
        </w:rPr>
        <w:t>191—42.3</w:t>
      </w:r>
      <w:r>
        <w:rPr>
          <w:rFonts w:ascii="Times New Roman" w:hAnsi="Times New Roman"/>
          <w:b/>
          <w:i w:val="false"/>
          <w:color w:val="000000"/>
          <w:sz w:val="22"/>
        </w:rPr>
        <w:t xml:space="preserve">(508) </w:t>
      </w:r>
      <w:r>
        <w:rPr>
          <w:rFonts w:ascii="Times New Roman" w:hAnsi="Times New Roman"/>
          <w:b/>
          <w:i w:val="false"/>
          <w:color w:val="000000"/>
          <w:sz w:val="22"/>
        </w:rPr>
        <w:t xml:space="preserve">Use of gender-blended mortality tables. </w:t>
      </w:r>
      <w:r>
        <w:rPr>
          <w:rFonts w:ascii="Times New Roman" w:hAnsi="Times New Roman"/>
          <w:b w:val="false"/>
          <w:i w:val="false"/>
          <w:color w:val="000000"/>
          <w:sz w:val="22"/>
        </w:rPr>
        <w:t xml:space="preserve">For any policy of insurance on the life of either a male or female insured delivered or issued for delivery in this state after the operative date of Iowa Code section </w:t>
      </w:r>
      <w:hyperlink r:id="rId5">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 an insurer may: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val="false"/>
          <w:color w:val="000000"/>
          <w:sz w:val="22"/>
        </w:rPr>
        <w:t>Substitute a mortality table which is a blend of the 1980 CSO Table (M) and the 1980 CSO Table (F) with or without Ten-Year Select Mortality Factors for the 1980 CSO Table, with or without Ten-Year Select Mortality Factors for use in determining minimum cash surrender values and amounts of paid-up nonforfeiture values,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val="false"/>
          <w:color w:val="000000"/>
          <w:sz w:val="22"/>
        </w:rPr>
        <w:t xml:space="preserve">Substitute a mortality table which is of the same blend as used in </w:t>
      </w:r>
      <w:hyperlink r:id="rId6">
        <w:r>
          <w:rPr>
            <w:rStyle w:val="Hyperlink"/>
            <w:rFonts w:ascii="Times New Roman" w:hAnsi="Times New Roman"/>
            <w:b w:val="false"/>
            <w:i w:val="false"/>
            <w:color w:val="000000"/>
            <w:sz w:val="22"/>
          </w:rPr>
          <w:t>subrule 42.3(1)</w:t>
        </w:r>
      </w:hyperlink>
      <w:r>
        <w:rPr>
          <w:rFonts w:ascii="Times New Roman" w:hAnsi="Times New Roman"/>
          <w:b w:val="false"/>
          <w:i w:val="false"/>
          <w:color w:val="000000"/>
          <w:sz w:val="22"/>
        </w:rPr>
        <w:t xml:space="preserve"> above but applied to form a blend of the 1980 CET Table (M) and the 1980 CET Table (F) for the 1980 CET Table for use in determining minimum cash surrender values and amounts of paid-up nonforfeiture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val="false"/>
          <w:color w:val="000000"/>
          <w:sz w:val="22"/>
        </w:rPr>
        <w:t>The following tables, as developed and revised by the Society of Actuaries and adopted by the National Association of Insurance Commissioners shall be considered as the basis for acceptable gender-blended mortality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100 percent male 0 percent female, for tables to be designated as the “1980 CSO-A” and “1980 CET-A”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80 percent male 20 percent female, for tables to be designated as the “1980 CSO-B” and “1980 CET-B”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60 percent male 40 percent female, for tables to be designated as the “1980 CSO-C” and “1980 CET-C”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50 percent male 50 percent female, for tables to be designated as the “1980 CSO-D” and “1980 CET-D”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40 percent male 60 percent female, for tables to be designated as the “1980 CSO-E” and “1980 CET-E”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20 percent male 80 percent female, for tables to be designated as the “1980 CSO-F” and “1980 CET-F”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0 percent male 100 percent female, for tables to be designated as the “1980 CSO-G” and “1980 CET-G” tables.</w:t>
      </w:r>
    </w:p>
    <w:p>
      <w:pPr>
        <w:spacing w:before="0" w:after="0"/>
        <w:ind w:left="120"/>
        <w:jc w:val="both"/>
      </w:pPr>
      <w:r>
        <w:rPr>
          <w:rFonts w:ascii="Times New Roman" w:hAnsi="Times New Roman"/>
          <w:b w:val="false"/>
          <w:i w:val="false"/>
          <w:color w:val="000000"/>
          <w:sz w:val="22"/>
        </w:rPr>
        <w:t xml:space="preserve">Tables 1980 CSO-A, 1980 CET-A, 1980 CSO-G, and 1980 CET-G shall not be used with respect to policies issued on or after January 1, 1985, except where 90 percent or more of persons insured thereunder are anticipated to be of one gender or except for certain policies converted from group insurance. Such group conversions issued on or after January 1, 1986, shall use mortality tables based on the blend of lives by gender expected for such policies if the group conversion policy is considered to be controlled by the decision in </w:t>
      </w:r>
      <w:r>
        <w:rPr>
          <w:rFonts w:ascii="Times New Roman" w:hAnsi="Times New Roman"/>
          <w:b w:val="false"/>
          <w:i/>
          <w:color w:val="000000"/>
          <w:sz w:val="22"/>
        </w:rPr>
        <w:t>Arizona Governing Committee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Norris.</w:t>
      </w:r>
    </w:p>
    <w:p>
      <w:pPr>
        <w:spacing w:before="210" w:after="0"/>
        <w:ind w:left="120"/>
        <w:jc w:val="both"/>
      </w:pPr>
      <w:r>
        <w:rPr>
          <w:rFonts w:ascii="Times New Roman" w:hAnsi="Times New Roman"/>
          <w:b/>
          <w:i w:val="false"/>
          <w:color w:val="000000"/>
          <w:sz w:val="22"/>
        </w:rPr>
        <w:t>191—42.4</w:t>
      </w:r>
      <w:r>
        <w:rPr>
          <w:rFonts w:ascii="Times New Roman" w:hAnsi="Times New Roman"/>
          <w:b/>
          <w:i w:val="false"/>
          <w:color w:val="000000"/>
          <w:sz w:val="22"/>
        </w:rPr>
        <w:t xml:space="preserve">(508) </w:t>
      </w:r>
      <w:r>
        <w:rPr>
          <w:rFonts w:ascii="Times New Roman" w:hAnsi="Times New Roman"/>
          <w:b/>
          <w:i w:val="false"/>
          <w:color w:val="000000"/>
          <w:sz w:val="22"/>
        </w:rPr>
        <w:t xml:space="preserve">Unfair discrimination. </w:t>
      </w:r>
      <w:r>
        <w:rPr>
          <w:rFonts w:ascii="Times New Roman" w:hAnsi="Times New Roman"/>
          <w:b w:val="false"/>
          <w:i w:val="false"/>
          <w:color w:val="000000"/>
          <w:sz w:val="22"/>
        </w:rPr>
        <w:t xml:space="preserve">It shall not be a violation of Iowa Code section </w:t>
      </w:r>
      <w:hyperlink r:id="rId7">
        <w:r>
          <w:rPr>
            <w:rStyle w:val="Hyperlink"/>
            <w:rFonts w:ascii="Times New Roman" w:hAnsi="Times New Roman"/>
            <w:b w:val="false"/>
            <w:i w:val="false"/>
            <w:color w:val="000000"/>
            <w:sz w:val="22"/>
          </w:rPr>
          <w:t>507B.4(7)</w:t>
        </w:r>
      </w:hyperlink>
      <w:r>
        <w:rPr>
          <w:rFonts w:ascii="Times New Roman" w:hAnsi="Times New Roman"/>
          <w:b w:val="false"/>
          <w:i w:val="false"/>
          <w:color w:val="000000"/>
          <w:sz w:val="22"/>
        </w:rPr>
        <w:t xml:space="preserve"> for an insurer to issue the same kind of policy of life insurance on both a sex-distinct and sex-neutral basis.</w:t>
      </w:r>
    </w:p>
    <w:p>
      <w:pPr>
        <w:spacing w:before="210" w:after="0"/>
        <w:ind w:left="120"/>
        <w:jc w:val="both"/>
      </w:pPr>
      <w:r>
        <w:rPr>
          <w:rFonts w:ascii="Times New Roman" w:hAnsi="Times New Roman"/>
          <w:b/>
          <w:i w:val="false"/>
          <w:color w:val="000000"/>
          <w:sz w:val="22"/>
        </w:rPr>
        <w:t>191—42.5</w:t>
      </w:r>
      <w:r>
        <w:rPr>
          <w:rFonts w:ascii="Times New Roman" w:hAnsi="Times New Roman"/>
          <w:b/>
          <w:i w:val="false"/>
          <w:color w:val="000000"/>
          <w:sz w:val="22"/>
        </w:rPr>
        <w:t xml:space="preserve">(508) </w:t>
      </w:r>
      <w:r>
        <w:rPr>
          <w:rFonts w:ascii="Times New Roman" w:hAnsi="Times New Roman"/>
          <w:b/>
          <w:i w:val="false"/>
          <w:color w:val="000000"/>
          <w:sz w:val="22"/>
        </w:rPr>
        <w:t xml:space="preserve">Separability. </w:t>
      </w:r>
      <w:r>
        <w:rPr>
          <w:rFonts w:ascii="Times New Roman" w:hAnsi="Times New Roman"/>
          <w:b w:val="false"/>
          <w:i w:val="false"/>
          <w:color w:val="000000"/>
          <w:sz w:val="22"/>
        </w:rPr>
        <w:t>If any provision of this rule or its application to any person or circumstance is for any reason held to be invalid, the remainder of the rule and the application of such provision to other persons or circumstances shall not be affected.</w:t>
      </w:r>
    </w:p>
    <w:p>
      <w:pPr>
        <w:spacing w:before="210" w:after="0"/>
        <w:ind w:left="120"/>
        <w:jc w:val="both"/>
      </w:pPr>
      <w:r>
        <w:rPr>
          <w:rFonts w:ascii="Times New Roman" w:hAnsi="Times New Roman"/>
          <w:b/>
          <w:i w:val="false"/>
          <w:color w:val="000000"/>
          <w:sz w:val="22"/>
        </w:rPr>
        <w:t>191—42.6</w:t>
      </w:r>
      <w:r>
        <w:rPr>
          <w:rFonts w:ascii="Times New Roman" w:hAnsi="Times New Roman"/>
          <w:b/>
          <w:i w:val="false"/>
          <w:color w:val="000000"/>
          <w:sz w:val="22"/>
        </w:rPr>
        <w:t xml:space="preserve">(508) </w:t>
      </w:r>
      <w:r>
        <w:rPr>
          <w:rFonts w:ascii="Times New Roman" w:hAnsi="Times New Roman"/>
          <w:b/>
          <w:i w:val="false"/>
          <w:color w:val="000000"/>
          <w:sz w:val="22"/>
        </w:rPr>
        <w:t xml:space="preserve">2001 CSO Mortality Table. </w:t>
      </w:r>
      <w:r>
        <w:rPr>
          <w:rFonts w:ascii="Times New Roman" w:hAnsi="Times New Roman"/>
          <w:b w:val="false"/>
          <w:i w:val="false"/>
          <w:color w:val="000000"/>
          <w:sz w:val="22"/>
        </w:rPr>
        <w:t xml:space="preserve">The 2001 CSO Mortality Table shall be used for purposes of this chapter pursuant to the requirements of </w:t>
      </w:r>
      <w:hyperlink r:id="rId8">
        <w:r>
          <w:rPr>
            <w:rStyle w:val="Hyperlink"/>
            <w:rFonts w:ascii="Times New Roman" w:hAnsi="Times New Roman"/>
            <w:b w:val="false"/>
            <w:i w:val="false"/>
            <w:color w:val="000000"/>
            <w:sz w:val="22"/>
          </w:rPr>
          <w:t>191—Chapter 91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508.37(6)</w:t>
        </w:r>
      </w:hyperlink>
      <w:r>
        <w:rPr>
          <w:rFonts w:ascii="Times New Roman" w:hAnsi="Times New Roman"/>
          <w:b w:val="false"/>
          <w:i/>
          <w:color w:val="000000"/>
          <w:sz w:val="22"/>
        </w:rPr>
        <w:t>“h”</w:t>
      </w:r>
      <w:r>
        <w:rPr>
          <w:rFonts w:ascii="Times New Roman" w:hAnsi="Times New Roman"/>
          <w:b w:val="false"/>
          <w:i w:val="false"/>
          <w:color w:val="000000"/>
          <w:sz w:val="22"/>
        </w:rPr>
        <w:t>(6).</w:t>
      </w:r>
    </w:p>
    <w:p>
      <w:pPr>
        <w:spacing w:before="0" w:after="0"/>
        <w:ind w:left="120"/>
        <w:jc w:val="center"/>
      </w:pPr>
      <w:r>
        <w:rPr>
          <w:rFonts w:ascii="Times New Roman" w:hAnsi="Times New Roman"/>
          <w:b w:val="false"/>
          <w:i w:val="false"/>
          <w:color w:val="000000"/>
          <w:sz w:val="21"/>
        </w:rPr>
        <w:t>[Filed 6/15/84, Notice 3/14/84—published 7/4/84, effective 8/8/84]</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12/10/86, Notice 10/22/86—published 12/31/86, effective 2/4/87]</w:t>
      </w:r>
    </w:p>
    <w:p>
      <w:pPr>
        <w:spacing w:before="0" w:after="0"/>
        <w:ind w:left="120"/>
        <w:jc w:val="center"/>
      </w:pPr>
      <w:r>
        <w:rPr>
          <w:rFonts w:ascii="Times New Roman" w:hAnsi="Times New Roman"/>
          <w:b w:val="false"/>
          <w:i w:val="false"/>
          <w:color w:val="000000"/>
          <w:sz w:val="21"/>
        </w:rPr>
        <w:t>[Filed emergency 12/4/03 after Notice 10/1/03—published 12/24/03, effective 1/1/04]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37.pdf" Type="http://schemas.openxmlformats.org/officeDocument/2006/relationships/hyperlink" Id="rId5"/>
    <Relationship TargetMode="External" Target="https://www.legis.iowa.gov/docs/iac/rule/191.42.3.pdf" Type="http://schemas.openxmlformats.org/officeDocument/2006/relationships/hyperlink" Id="rId6"/>
    <Relationship TargetMode="External" Target="https://www.legis.iowa.gov/docs/ico/chapter/507B.4.pdf" Type="http://schemas.openxmlformats.org/officeDocument/2006/relationships/hyperlink" Id="rId7"/>
    <Relationship TargetMode="External" Target="https://www.legis.iowa.gov/docs/iac/chapter/191.91.pdf" Type="http://schemas.openxmlformats.org/officeDocument/2006/relationships/hyperlink" Id="rId8"/>
    <Relationship TargetMode="External" Target="https://www.legis.iowa.gov/docs/ico/chapter/508.3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