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COORDINATION OF BENEFITS</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DIVISION I</w:t>
      </w:r>
    </w:p>
    <w:p>
      <w:pPr>
        <w:spacing w:before="0" w:after="0"/>
        <w:ind w:left="120"/>
        <w:jc w:val="left"/>
      </w:pP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10/20/10</w:t>
      </w:r>
      <w:r>
        <w:rPr>
          <w:rFonts w:ascii="Times New Roman" w:hAnsi="Times New Roman"/>
          <w:b w:val="false"/>
          <w:i w:val="false"/>
          <w:color w:val="000000"/>
          <w:sz w:val="22"/>
        </w:rPr>
        <w:t>, effective 11/24/10</w:t>
      </w:r>
    </w:p>
    <w:p>
      <w:pPr>
        <w:spacing w:before="0" w:after="0"/>
        <w:ind w:left="120"/>
        <w:jc w:val="both"/>
      </w:pPr>
      <w:r>
        <w:rPr>
          <w:rFonts w:ascii="Times New Roman" w:hAnsi="Times New Roman"/>
          <w:b/>
          <w:i w:val="false"/>
          <w:color w:val="000000"/>
          <w:sz w:val="22"/>
        </w:rPr>
        <w:t>—38.1</w:t>
      </w:r>
      <w:r>
        <w:rPr>
          <w:rFonts w:ascii="Times New Roman" w:hAnsi="Times New Roman"/>
          <w:b w:val="false"/>
          <w:i w:val="false"/>
          <w:color w:val="000000"/>
          <w:sz w:val="22"/>
        </w:rPr>
        <w:t xml:space="preserve"> to </w:t>
      </w:r>
      <w:r>
        <w:rPr>
          <w:rFonts w:ascii="Times New Roman" w:hAnsi="Times New Roman"/>
          <w:b/>
          <w:i w:val="false"/>
          <w:color w:val="000000"/>
          <w:sz w:val="22"/>
        </w:rPr>
        <w:t>—38.11</w:t>
      </w:r>
      <w:r>
        <w:rPr>
          <w:rFonts w:ascii="Times New Roman" w:hAnsi="Times New Roman"/>
          <w:b w:val="false"/>
          <w:i w:val="false"/>
          <w:color w:val="000000"/>
          <w:sz w:val="22"/>
        </w:rPr>
        <w:t> </w:t>
      </w:r>
      <w:r>
        <w:rPr>
          <w:rFonts w:ascii="Times New Roman" w:hAnsi="Times New Roman"/>
          <w:b w:val="false"/>
          <w:i w:val="false"/>
          <w:color w:val="000000"/>
          <w:sz w:val="22"/>
        </w:rPr>
        <w:t xml:space="preserve">Reserved. </w:t>
      </w:r>
    </w:p>
    <w:p>
      <w:pPr>
        <w:pBdr>
          <w:top w:space="10"/>
        </w:pBdr>
        <w:spacing w:before="0" w:after="0"/>
        <w:ind w:left="120"/>
        <w:jc w:val="center"/>
      </w:pPr>
      <w:r>
        <w:rPr>
          <w:rFonts w:ascii="Times New Roman" w:hAnsi="Times New Roman"/>
          <w:b w:val="false"/>
          <w:i w:val="false"/>
          <w:color w:val="000000"/>
          <w:sz w:val="20"/>
        </w:rPr>
        <w:t>DIVISION II</w:t>
      </w:r>
    </w:p>
    <w:p>
      <w:pPr>
        <w:spacing w:before="0" w:after="0"/>
        <w:ind w:left="120"/>
        <w:jc w:val="both"/>
      </w:pPr>
      <w:r>
        <w:rPr>
          <w:rFonts w:ascii="Times New Roman" w:hAnsi="Times New Roman"/>
          <w:b/>
          <w:i w:val="false"/>
          <w:color w:val="000000"/>
          <w:sz w:val="22"/>
        </w:rPr>
        <w:t>191—38.12</w:t>
      </w:r>
      <w:r>
        <w:rPr>
          <w:rFonts w:ascii="Times New Roman" w:hAnsi="Times New Roman"/>
          <w:b/>
          <w:i w:val="false"/>
          <w:color w:val="000000"/>
          <w:sz w:val="22"/>
        </w:rPr>
        <w:t xml:space="preserve">(509,514) </w:t>
      </w:r>
      <w:r>
        <w:rPr>
          <w:rFonts w:ascii="Times New Roman" w:hAnsi="Times New Roman"/>
          <w:b/>
          <w:i w:val="false"/>
          <w:color w:val="000000"/>
          <w:sz w:val="22"/>
        </w:rPr>
        <w:t xml:space="preserve">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38.12(1)</w:t>
      </w:r>
      <w:r>
        <w:rPr>
          <w:rFonts w:ascii="Times New Roman" w:hAnsi="Times New Roman"/>
          <w:b w:val="false"/>
          <w:i w:val="false"/>
          <w:color w:val="000000"/>
          <w:sz w:val="22"/>
        </w:rPr>
        <w:t> </w:t>
      </w:r>
      <w:r>
        <w:rPr>
          <w:rFonts w:ascii="Times New Roman" w:hAnsi="Times New Roman"/>
          <w:b w:val="false"/>
          <w:i w:val="false"/>
          <w:color w:val="000000"/>
          <w:sz w:val="22"/>
        </w:rPr>
        <w:t>The purpose of this chapter is to adopt the new model provisions for coordination of benefits (COB) as promulgated by the National Association of Insurance Commissioners (NAIC).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38.12(2)</w:t>
      </w:r>
      <w:r>
        <w:rPr>
          <w:rFonts w:ascii="Times New Roman" w:hAnsi="Times New Roman"/>
          <w:b w:val="false"/>
          <w:i w:val="false"/>
          <w:color w:val="000000"/>
          <w:sz w:val="22"/>
        </w:rPr>
        <w:t> </w:t>
      </w:r>
      <w:r>
        <w:rPr>
          <w:rFonts w:ascii="Times New Roman" w:hAnsi="Times New Roman"/>
          <w:b w:val="false"/>
          <w:i w:val="false"/>
          <w:color w:val="000000"/>
          <w:sz w:val="22"/>
        </w:rPr>
        <w:t>This division is intended to establish a uniform order of benefit determination under which plans pay claims; to reduce duplication of benefits by permitting a reduction of the benefits to be paid by plans that, pursuant to rules established by this division, do not have to pay benefits first; and to provide greater efficiency in the processing of claims when a person is covered under more than one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38.12(3)</w:t>
      </w:r>
      <w:r>
        <w:rPr>
          <w:rFonts w:ascii="Times New Roman" w:hAnsi="Times New Roman"/>
          <w:b w:val="false"/>
          <w:i w:val="false"/>
          <w:color w:val="000000"/>
          <w:sz w:val="22"/>
        </w:rPr>
        <w:t> </w:t>
      </w:r>
      <w:r>
        <w:rPr>
          <w:rFonts w:ascii="Times New Roman" w:hAnsi="Times New Roman"/>
          <w:b w:val="false"/>
          <w:i w:val="false"/>
          <w:color w:val="000000"/>
          <w:sz w:val="22"/>
        </w:rPr>
        <w:t>These rules apply to all plans that are issued on or after January 25, 2006.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9164B</w:t>
      </w:r>
      <w:r>
        <w:rPr>
          <w:rFonts w:ascii="Times New Roman" w:hAnsi="Times New Roman"/>
          <w:b w:val="false"/>
          <w:i w:val="false"/>
          <w:color w:val="000000"/>
          <w:sz w:val="16"/>
        </w:rPr>
        <w:t>, IAB 10/20/10, effective 11/24/10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191—38.13</w:t>
      </w:r>
      <w:r>
        <w:rPr>
          <w:rFonts w:ascii="Times New Roman" w:hAnsi="Times New Roman"/>
          <w:b/>
          <w:i w:val="false"/>
          <w:color w:val="000000"/>
          <w:sz w:val="22"/>
        </w:rPr>
        <w:t xml:space="preserve">(509,514)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division, these terms have the following meanings,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expense,” </w:t>
      </w:r>
      <w:r>
        <w:rPr>
          <w:rFonts w:ascii="Times New Roman" w:hAnsi="Times New Roman"/>
          <w:b w:val="false"/>
          <w:i w:val="false"/>
          <w:color w:val="000000"/>
          <w:sz w:val="22"/>
        </w:rPr>
        <w:t>except as set forth below or where a statute requires a different definition, means any health care expense, including coinsurance or copayments and without reduction for any applicable deductible, that is covered in full or in part by any of the plans covering the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a plan is advised by a covered person that all plans covering the person are high-deductible health plans and the person intends to contribute to a health savings account established in accordance with Section 223 of the Internal Revenue Code of 1986, the primary high-deductible health plan’s deductible is not an allowable expense, except for any health care expense incurred that may not be subject to the deductible as described in Section 223(c)(2)(C) of the Internal Revenue Code of 1986.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expense or a portion of an expense that is not covered by any of the plans is not an allowable expense.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expense that a provider by law or in accordance with a contractual agreement is prohibited from charging a covered person is not an allowable expense.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following are examples of expenses that are not allowable expenses: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a person is confined in a private hospital room, the difference between the cost of a semiprivate room in the hospital and the private room is not an allowable expense, unless one of the plans provides coverage for private hospital room expenses.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a person is covered by two or more plans that compute their benefit payments on the basis of usual and customary fees or relative value schedule reimbursement or other similar reimbursement methodology, any amount charged by the provider in excess of the highest reimbursement amount for a specified benefit is not an allowable expense.</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a person is covered by two or more plans that provide benefits or services on the basis of negotiated fees, any amount in excess of the highest of the negotiated fees is not an allowable expense.</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a person is covered by one plan that calculates its benefits or services on the basis of usual and customary fees or relative value schedule reimbursement or other similar reimbursement methodology and by another plan that provides its benefits or services on the basis of negotiated fees, the primary plan’s payment arrangement shall be the allowable expense for all plans. However, if the provider has contracted with the secondary plan to provide the benefit or service for a specific negotiated fee or payment amount that is different from the primary plan’s payment arrangement and if the provider’s contract permits, that negotiated fee or payment shall be the allowable expense used by the secondary plan to determine its benefits.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definition of “allowable expense” may exclude certain types of coverage or benefits such as dental care, vision care, prescription drugs or hearing aids. A plan that limits the application of COB to certain coverages or benefits may limit the definition of “allowable expense” in its contract to expenses that are similar to the expenses that it provides. When COB is restricted to specific coverages or benefits in a contract, the definition of “allowable expense” shall include similar expenses to which COB applies.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When a plan provides benefits in the form of services, the reasonable cash value of each service will be considered an allowable expense and a benefit paid.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amount of the reduction may be excluded from allowable expense when a covered person’s benefits are reduced under a primary plan: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Because the covered person does not comply with the plan provisions concerning second surgical opinions or precertification of admissions or services; or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Because the covered person has a lower benefit because the covered person did not use a preferred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“Birthday” </w:t>
      </w:r>
      <w:r>
        <w:rPr>
          <w:rFonts w:ascii="Times New Roman" w:hAnsi="Times New Roman"/>
          <w:b w:val="false"/>
          <w:i w:val="false"/>
          <w:color w:val="000000"/>
          <w:sz w:val="22"/>
        </w:rPr>
        <w:t>refers only to month and day in a calendar year and does not include the year in which the individual is born.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means a request that benefits of a plan be provided or paid. The benefits claimed may be in the form of services (including supplies); payment for all or a portion of the expenses incurred; a combination of services or expenses incurred; or an indemnification.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“Closed panel plan” </w:t>
      </w:r>
      <w:r>
        <w:rPr>
          <w:rFonts w:ascii="Times New Roman" w:hAnsi="Times New Roman"/>
          <w:b w:val="false"/>
          <w:i w:val="false"/>
          <w:color w:val="000000"/>
          <w:sz w:val="22"/>
        </w:rPr>
        <w:t>means a plan that provides health benefits to covered persons primarily in the form of services through a panel of providers that have contracted with or are employed by the plan, and that excludes benefits for services provided by other providers, except in cases of emergency or referral by a panel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“Consolidated Omnibus Budget Reconciliation Act of 1985”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“COBRA” </w:t>
      </w:r>
      <w:r>
        <w:rPr>
          <w:rFonts w:ascii="Times New Roman" w:hAnsi="Times New Roman"/>
          <w:b w:val="false"/>
          <w:i w:val="false"/>
          <w:color w:val="000000"/>
          <w:sz w:val="22"/>
        </w:rPr>
        <w:t>means coverage provided under a right of continuation pursuant to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“Coordination of benefits”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“COB” </w:t>
      </w:r>
      <w:r>
        <w:rPr>
          <w:rFonts w:ascii="Times New Roman" w:hAnsi="Times New Roman"/>
          <w:b w:val="false"/>
          <w:i w:val="false"/>
          <w:color w:val="000000"/>
          <w:sz w:val="22"/>
        </w:rPr>
        <w:t>means a provision establishing an order in which plans pay their claims and permitting secondary plans to reduce their benefits so that the combined benefits of all plans do not exceed total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“Custodial parent” </w:t>
      </w:r>
      <w:r>
        <w:rPr>
          <w:rFonts w:ascii="Times New Roman" w:hAnsi="Times New Roman"/>
          <w:b w:val="false"/>
          <w:i w:val="false"/>
          <w:color w:val="000000"/>
          <w:sz w:val="22"/>
        </w:rPr>
        <w:t>means the parent awarded custody of a child by a court decree or, in the absence of a court decree, the parent with whom the child resides more than one-half of the calendar year without regard to any temporary visitation.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“Group-type contract” </w:t>
      </w:r>
      <w:r>
        <w:rPr>
          <w:rFonts w:ascii="Times New Roman" w:hAnsi="Times New Roman"/>
          <w:b w:val="false"/>
          <w:i w:val="false"/>
          <w:color w:val="000000"/>
          <w:sz w:val="22"/>
        </w:rPr>
        <w:t>means a contract that is not available to the general public and is obtained and maintained only because of membership in or a connection with a particular organization or group, including blanket coverage. “Group-type contract” does not include an individually underwritten and issued guaranteed renewable policy even if the policy is purchased through payroll deduction at a premium savings to the insured since the insured would have the right to maintain or renew the policy independently of continued employment with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“High-deductible health plan” </w:t>
      </w:r>
      <w:r>
        <w:rPr>
          <w:rFonts w:ascii="Times New Roman" w:hAnsi="Times New Roman"/>
          <w:b w:val="false"/>
          <w:i w:val="false"/>
          <w:color w:val="000000"/>
          <w:sz w:val="22"/>
        </w:rPr>
        <w:t>has the meaning given the term under Section 223 of the Internal Revenue Code of 1986, as amended by the Medicare Prescription Drug, Improvement and Modernization Act of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indemnity benefits” </w:t>
      </w:r>
      <w:r>
        <w:rPr>
          <w:rFonts w:ascii="Times New Roman" w:hAnsi="Times New Roman"/>
          <w:b w:val="false"/>
          <w:i w:val="false"/>
          <w:color w:val="000000"/>
          <w:sz w:val="22"/>
        </w:rPr>
        <w:t>means benefits not related to expenses incurred. “Hospital indemnity benefits” does not include reimbursement-type benefits even if they are designed or administered to give the insured the right to elect indemnity-type benefits at the time of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means a form of coverage with which coordination is allowed. Separate parts of a plan for members of a group that are provided through alternative contracts that are intended to be part of a coordinated package of benefits are considered one plan and there is no COB among the separate parts of the plan.</w:t>
      </w:r>
    </w:p>
    <w:p>
      <w:pPr>
        <w:spacing w:before="0" w:after="0"/>
        <w:ind w:left="120"/>
        <w:jc w:val="both"/>
      </w:pPr>
      <w:r>
        <w:rPr>
          <w:rFonts w:ascii="Times New Roman" w:hAnsi="Times New Roman"/>
          <w:b w:val="false"/>
          <w:i w:val="false"/>
          <w:color w:val="000000"/>
          <w:sz w:val="22"/>
        </w:rPr>
        <w:t>If a plan coordinates benefits, its contract shall state the types of coverage that will be considered in applying the COB provision of that contract. Whether the contract uses the term “plan” or some other term such as “program,” the contractual definition may be no broader than the definition of “plan” in paragraph 1 below. A model COB provision is contained in Appendix A of this division.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“Plan” includes: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Group and nongroup insurance contracts and subscriber contracts;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Uninsured arrangements of group or group-type coverage;</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Group and nongroup coverage through closed panel plans;</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Group-type contracts;</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medical care components of long-term care contracts, such as skilled nursing care;</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medical benefits coverage in automobile “no fault” and traditional automobile “fault” contracts; and</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Medicare or other governmental benefits, as permitted by law, except as provided in paragraph 2</w:t>
      </w:r>
      <w:r>
        <w:rPr>
          <w:rFonts w:ascii="Times New Roman" w:hAnsi="Times New Roman"/>
          <w:b w:val="false"/>
          <w:i/>
          <w:color w:val="000000"/>
          <w:sz w:val="22"/>
        </w:rPr>
        <w:t>“h”</w:t>
      </w:r>
      <w:r>
        <w:rPr>
          <w:rFonts w:ascii="Times New Roman" w:hAnsi="Times New Roman"/>
          <w:b w:val="false"/>
          <w:i w:val="false"/>
          <w:color w:val="000000"/>
          <w:sz w:val="22"/>
        </w:rPr>
        <w:t xml:space="preserve"> below. This part of a plan may be limited to the hospital, medical and surgical benefits of the governmental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“Plan” does not include:</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Hospital indemnity coverage benefits or other fixed indemnity coverage;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Accident-only coverage;</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Specified disease or specified accident coverage;</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Limited benefit health insurance coverage, as defined in </w:t>
      </w:r>
      <w:hyperlink r:id="rId5">
        <w:r>
          <w:rPr>
            <w:rStyle w:val="Hyperlink"/>
            <w:rFonts w:ascii="Times New Roman" w:hAnsi="Times New Roman"/>
            <w:b w:val="false"/>
            <w:i w:val="false"/>
            <w:color w:val="000000"/>
            <w:sz w:val="22"/>
          </w:rPr>
          <w:t>191—subrule 36.6(10)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School accident-type coverages that cover students for accidents only, including athletic injuries, either on a 24-hour basis or on a “to and from school” basis;</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Benefits provided in long-term care insurance policies for nonmedical services, for example, personal care, adult day care, homemaker services, assistance with activities of daily living, respite care and custodial care, or for contracts that pay a fixed daily benefit without regard to expenses incurred or the receipt of services;</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Medicare supplement policies;</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state plan under Medicaid; or</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governmental plan, which, by law, provides benefits that are in excess of those of any private insurance plan or other nongovernmental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“Policyholder” </w:t>
      </w:r>
      <w:r>
        <w:rPr>
          <w:rFonts w:ascii="Times New Roman" w:hAnsi="Times New Roman"/>
          <w:b w:val="false"/>
          <w:i w:val="false"/>
          <w:color w:val="000000"/>
          <w:sz w:val="22"/>
        </w:rPr>
        <w:t>means the primary insured named in a nongroup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plan” </w:t>
      </w:r>
      <w:r>
        <w:rPr>
          <w:rFonts w:ascii="Times New Roman" w:hAnsi="Times New Roman"/>
          <w:b w:val="false"/>
          <w:i w:val="false"/>
          <w:color w:val="000000"/>
          <w:sz w:val="22"/>
        </w:rPr>
        <w:t>means a plan whose benefits for a person’s health care coverage must be determined without taking the existence of any other plan into consideration. A plan is a “primary plan”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plan either has no order of benefit determination rules, or its rules differ from those permitted by this division;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plans that cover the person use the order of benefit determination rules required by this division, and under those rules the plan determines its benefits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plan” </w:t>
      </w:r>
      <w:r>
        <w:rPr>
          <w:rFonts w:ascii="Times New Roman" w:hAnsi="Times New Roman"/>
          <w:b w:val="false"/>
          <w:i w:val="false"/>
          <w:color w:val="000000"/>
          <w:sz w:val="22"/>
        </w:rPr>
        <w:t>means a plan that is not a primary plan.</w:t>
      </w:r>
    </w:p>
    <w:p>
      <w:pPr>
        <w:spacing w:before="0" w:after="0"/>
        <w:ind w:left="120"/>
        <w:jc w:val="both"/>
      </w:pPr>
      <w:r>
        <w:rPr>
          <w:rFonts w:ascii="Times New Roman" w:hAnsi="Times New Roman"/>
          <w:b/>
          <w:i w:val="false"/>
          <w:color w:val="000000"/>
          <w:sz w:val="22"/>
        </w:rPr>
        <w:t>191—38.14</w:t>
      </w:r>
      <w:r>
        <w:rPr>
          <w:rFonts w:ascii="Times New Roman" w:hAnsi="Times New Roman"/>
          <w:b/>
          <w:i w:val="false"/>
          <w:color w:val="000000"/>
          <w:sz w:val="22"/>
        </w:rPr>
        <w:t xml:space="preserve">(509,514) </w:t>
      </w:r>
      <w:r>
        <w:rPr>
          <w:rFonts w:ascii="Times New Roman" w:hAnsi="Times New Roman"/>
          <w:b/>
          <w:i w:val="false"/>
          <w:color w:val="000000"/>
          <w:sz w:val="22"/>
        </w:rPr>
        <w:t xml:space="preserve">Use of model COB contract provision.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38.14(1)</w:t>
      </w:r>
      <w:r>
        <w:rPr>
          <w:rFonts w:ascii="Times New Roman" w:hAnsi="Times New Roman"/>
          <w:b w:val="false"/>
          <w:i w:val="false"/>
          <w:color w:val="000000"/>
          <w:sz w:val="22"/>
        </w:rPr>
        <w:t> </w:t>
      </w:r>
      <w:r>
        <w:rPr>
          <w:rFonts w:ascii="Times New Roman" w:hAnsi="Times New Roman"/>
          <w:b w:val="false"/>
          <w:i w:val="false"/>
          <w:color w:val="000000"/>
          <w:sz w:val="22"/>
        </w:rPr>
        <w:t xml:space="preserve">Appendix A of this division contains a model COB provision for use in contracts. The use of this model COB provision is subject to the provisions of subrules </w:t>
      </w:r>
      <w:hyperlink r:id="rId6">
        <w:r>
          <w:rPr>
            <w:rStyle w:val="Hyperlink"/>
            <w:rFonts w:ascii="Times New Roman" w:hAnsi="Times New Roman"/>
            <w:b w:val="false"/>
            <w:i w:val="false"/>
            <w:color w:val="000000"/>
            <w:sz w:val="22"/>
          </w:rPr>
          <w:t>38.14(2)</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38.14(4)</w:t>
        </w:r>
      </w:hyperlink>
      <w:r>
        <w:rPr>
          <w:rFonts w:ascii="Times New Roman" w:hAnsi="Times New Roman"/>
          <w:b w:val="false"/>
          <w:i w:val="false"/>
          <w:color w:val="000000"/>
          <w:sz w:val="22"/>
        </w:rPr>
        <w:t xml:space="preserve"> and to rule </w:t>
      </w:r>
      <w:hyperlink r:id="rId8">
        <w:r>
          <w:rPr>
            <w:rStyle w:val="Hyperlink"/>
            <w:rFonts w:ascii="Times New Roman" w:hAnsi="Times New Roman"/>
            <w:b w:val="false"/>
            <w:i w:val="false"/>
            <w:color w:val="000000"/>
            <w:sz w:val="22"/>
          </w:rPr>
          <w:t>38.15(509,514)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38.14(2)</w:t>
      </w:r>
      <w:r>
        <w:rPr>
          <w:rFonts w:ascii="Times New Roman" w:hAnsi="Times New Roman"/>
          <w:b w:val="false"/>
          <w:i w:val="false"/>
          <w:color w:val="000000"/>
          <w:sz w:val="22"/>
        </w:rPr>
        <w:t> </w:t>
      </w:r>
      <w:r>
        <w:rPr>
          <w:rFonts w:ascii="Times New Roman" w:hAnsi="Times New Roman"/>
          <w:b w:val="false"/>
          <w:i w:val="false"/>
          <w:color w:val="000000"/>
          <w:sz w:val="22"/>
        </w:rPr>
        <w:t>Appendix B of this division is a plain language description of the COB process that explains to the covered person how health plans will implement coordination of benefits. Appendix B is not intended to replace or change the provisions that are set forth in the contract. The purpose of Appendix B is to explain the process by which two or more plans will pay for or provide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38.14(3)</w:t>
      </w:r>
      <w:r>
        <w:rPr>
          <w:rFonts w:ascii="Times New Roman" w:hAnsi="Times New Roman"/>
          <w:b w:val="false"/>
          <w:i w:val="false"/>
          <w:color w:val="000000"/>
          <w:sz w:val="22"/>
        </w:rPr>
        <w:t> </w:t>
      </w:r>
      <w:r>
        <w:rPr>
          <w:rFonts w:ascii="Times New Roman" w:hAnsi="Times New Roman"/>
          <w:b w:val="false"/>
          <w:i w:val="false"/>
          <w:color w:val="000000"/>
          <w:sz w:val="22"/>
        </w:rPr>
        <w:t>The COB provision contained in the appendices to this division do not have to use the specific words and format shown in the appendices. Changes may be made to fit the language and style of the rest of the contract or to reflect differences among plans that provide services, that pay benefits for expenses incurred and that indemnify. No substantive changes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38.14(4)</w:t>
      </w:r>
      <w:r>
        <w:rPr>
          <w:rFonts w:ascii="Times New Roman" w:hAnsi="Times New Roman"/>
          <w:b w:val="false"/>
          <w:i w:val="false"/>
          <w:color w:val="000000"/>
          <w:sz w:val="22"/>
        </w:rPr>
        <w:t> </w:t>
      </w:r>
      <w:r>
        <w:rPr>
          <w:rFonts w:ascii="Times New Roman" w:hAnsi="Times New Roman"/>
          <w:b w:val="false"/>
          <w:i w:val="false"/>
          <w:color w:val="000000"/>
          <w:sz w:val="22"/>
        </w:rPr>
        <w:t>A COB provision may not be used that permits a plan to reduce its benefits on the basis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Another plan exists and the covered person did not enroll in that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is or could have been covered under another plan, except with respect to Part B of Medicare;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has elected an option under another plan providing a lower level of benefits than another option that could have been 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38.14(5)</w:t>
      </w:r>
      <w:r>
        <w:rPr>
          <w:rFonts w:ascii="Times New Roman" w:hAnsi="Times New Roman"/>
          <w:b w:val="false"/>
          <w:i w:val="false"/>
          <w:color w:val="000000"/>
          <w:sz w:val="22"/>
        </w:rPr>
        <w:t> </w:t>
      </w:r>
      <w:r>
        <w:rPr>
          <w:rFonts w:ascii="Times New Roman" w:hAnsi="Times New Roman"/>
          <w:b w:val="false"/>
          <w:i w:val="false"/>
          <w:color w:val="000000"/>
          <w:sz w:val="22"/>
        </w:rPr>
        <w:t>No plan may contain a provision that states that its benefits are “always excess” or “always secondary” except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38.14(6)</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terms of a closed panel plan, benefits are not payable if the covered person does not use the services of a closed panel provider. In most instances, COB does not occur if a covered person is enrolled in two or more closed panel plans and obtains services from a provider in one of the closed panel plans because the other closed panel plan (the one whose providers were not used) has no liability. However, COB may occur during the plan year when the covered person receives emergency services that would have been covered by both plans. Then the secondary plan shall use the provisions of rule </w:t>
      </w:r>
      <w:hyperlink r:id="rId9">
        <w:r>
          <w:rPr>
            <w:rStyle w:val="Hyperlink"/>
            <w:rFonts w:ascii="Times New Roman" w:hAnsi="Times New Roman"/>
            <w:b w:val="false"/>
            <w:i w:val="false"/>
            <w:color w:val="000000"/>
            <w:sz w:val="22"/>
          </w:rPr>
          <w:t>38.16(509,514)</w:t>
        </w:r>
      </w:hyperlink>
      <w:r>
        <w:rPr>
          <w:rFonts w:ascii="Times New Roman" w:hAnsi="Times New Roman"/>
          <w:b w:val="false"/>
          <w:i w:val="false"/>
          <w:color w:val="000000"/>
          <w:sz w:val="22"/>
        </w:rPr>
        <w:t xml:space="preserve"> to determine the amount it should pay for the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38.14(7)</w:t>
      </w:r>
      <w:r>
        <w:rPr>
          <w:rFonts w:ascii="Times New Roman" w:hAnsi="Times New Roman"/>
          <w:b w:val="false"/>
          <w:i w:val="false"/>
          <w:color w:val="000000"/>
          <w:sz w:val="22"/>
        </w:rPr>
        <w:t> </w:t>
      </w:r>
      <w:r>
        <w:rPr>
          <w:rFonts w:ascii="Times New Roman" w:hAnsi="Times New Roman"/>
          <w:b w:val="false"/>
          <w:i w:val="false"/>
          <w:color w:val="000000"/>
          <w:sz w:val="22"/>
        </w:rPr>
        <w:t xml:space="preserve">No plan may use a COB provision or any other provision that allows it to reduce its benefits with respect to any other coverage its insured may have that does not meet the definition of “plan” under rule </w:t>
      </w:r>
      <w:hyperlink r:id="rId10">
        <w:r>
          <w:rPr>
            <w:rStyle w:val="Hyperlink"/>
            <w:rFonts w:ascii="Times New Roman" w:hAnsi="Times New Roman"/>
            <w:b w:val="false"/>
            <w:i w:val="false"/>
            <w:color w:val="000000"/>
            <w:sz w:val="22"/>
          </w:rPr>
          <w:t>38.13(509,514)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191—38.15</w:t>
      </w:r>
      <w:r>
        <w:rPr>
          <w:rFonts w:ascii="Times New Roman" w:hAnsi="Times New Roman"/>
          <w:b/>
          <w:i w:val="false"/>
          <w:color w:val="000000"/>
          <w:sz w:val="22"/>
        </w:rPr>
        <w:t xml:space="preserve">(509,514) </w:t>
      </w:r>
      <w:r>
        <w:rPr>
          <w:rFonts w:ascii="Times New Roman" w:hAnsi="Times New Roman"/>
          <w:b/>
          <w:i w:val="false"/>
          <w:color w:val="000000"/>
          <w:sz w:val="22"/>
        </w:rPr>
        <w:t xml:space="preserve">Rules for coordination of benefits. </w:t>
      </w:r>
      <w:r>
        <w:rPr>
          <w:rFonts w:ascii="Times New Roman" w:hAnsi="Times New Roman"/>
          <w:b w:val="false"/>
          <w:i w:val="false"/>
          <w:color w:val="000000"/>
          <w:sz w:val="22"/>
        </w:rPr>
        <w:t>When a person is covered by two or more plans, the order of benefit payments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38.15(1)</w:t>
      </w:r>
      <w:r>
        <w:rPr>
          <w:rFonts w:ascii="Times New Roman" w:hAnsi="Times New Roman"/>
          <w:b w:val="false"/>
          <w:i w:val="false"/>
          <w:color w:val="000000"/>
          <w:sz w:val="22"/>
        </w:rPr>
        <w:t> </w:t>
      </w:r>
      <w:r>
        <w:rPr>
          <w:rFonts w:ascii="Times New Roman" w:hAnsi="Times New Roman"/>
          <w:b w:val="false"/>
          <w:i/>
          <w:color w:val="000000"/>
          <w:sz w:val="22"/>
        </w:rPr>
        <w:t xml:space="preserve">Primary plans. </w:t>
      </w:r>
      <w:r>
        <w:rPr>
          <w:rFonts w:ascii="Times New Roman" w:hAnsi="Times New Roman"/>
          <w:b w:val="false"/>
          <w:i w:val="false"/>
          <w:color w:val="000000"/>
          <w:sz w:val="22"/>
        </w:rPr>
        <w:t>The primary plan shall pay or provide its benefits as if the secondary plan or plans do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primary plan is a closed panel plan and the secondary plan is not a closed panel plan, the secondary plan shall pay or provide benefits as if it were the primary plan when a covered person uses a non-panel provider, except for emergency services or authorized referrals that are paid or provided by the primary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multiple contracts providing coordinated coverage are treated as a single plan under this division, this subrule applies only to the plan as a whole, and coordination among the component contracts is governed by the terms of the contracts. If more than one carrier pays or provides benefits under the plan, the carrier designated as primary within the plan shall be responsible for the plan’s compliance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person is covered by more than one secondary plan, the order of benefit determination rules of this division decide the order in which secondary plans benefits are determined in relation to each other. Each secondary plan shall take into consideration the benefits of the primary plan or plans and the benefits of any other plan, which, under the rules of this division, has its benefits determined before those of that secondary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38.15(2)</w:t>
      </w:r>
      <w:r>
        <w:rPr>
          <w:rFonts w:ascii="Times New Roman" w:hAnsi="Times New Roman"/>
          <w:b w:val="false"/>
          <w:i w:val="false"/>
          <w:color w:val="000000"/>
          <w:sz w:val="22"/>
        </w:rPr>
        <w:t> </w:t>
      </w:r>
      <w:r>
        <w:rPr>
          <w:rFonts w:ascii="Times New Roman" w:hAnsi="Times New Roman"/>
          <w:b w:val="false"/>
          <w:i/>
          <w:color w:val="000000"/>
          <w:sz w:val="22"/>
        </w:rPr>
        <w:t xml:space="preserve">Inconsistent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in paragraph</w:t>
      </w:r>
      <w:r>
        <w:rPr>
          <w:rFonts w:ascii="Times New Roman" w:hAnsi="Times New Roman"/>
          <w:b w:val="false"/>
          <w:i/>
          <w:color w:val="000000"/>
          <w:sz w:val="22"/>
        </w:rPr>
        <w:t xml:space="preserve"> “b,”</w:t>
      </w:r>
      <w:r>
        <w:rPr>
          <w:rFonts w:ascii="Times New Roman" w:hAnsi="Times New Roman"/>
          <w:b w:val="false"/>
          <w:i w:val="false"/>
          <w:color w:val="000000"/>
          <w:sz w:val="22"/>
        </w:rPr>
        <w:t xml:space="preserve"> a plan that does not contain order of benefit determination provisions that are consistent with this division is always the primary plan unless the provisions of both plans, regardless of the provisions of this paragraph, state that the complying plan is primary.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that is obtained by virtue of membership in a group and is designed to supplement a part of a basic package of benefits may provide that the supplementary coverage shall be excess to any other parts of the plan provided by the contract holder. Examples of these types of situations are major medical coverages that are superimposed over base plan hospital and surgical benefits, and insurance-type coverages that are written in connection with a closed panel plan to provide out-of-network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38.15(3)</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other plans. </w:t>
      </w:r>
      <w:r>
        <w:rPr>
          <w:rFonts w:ascii="Times New Roman" w:hAnsi="Times New Roman"/>
          <w:b w:val="false"/>
          <w:i w:val="false"/>
          <w:color w:val="000000"/>
          <w:sz w:val="22"/>
        </w:rPr>
        <w:t>A plan may take into consideration the benefits paid or provided by another plan only when, under the provisions of this division, it is secondary to the other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38.15(4)</w:t>
      </w:r>
      <w:r>
        <w:rPr>
          <w:rFonts w:ascii="Times New Roman" w:hAnsi="Times New Roman"/>
          <w:b w:val="false"/>
          <w:i w:val="false"/>
          <w:color w:val="000000"/>
          <w:sz w:val="22"/>
        </w:rPr>
        <w:t> </w:t>
      </w:r>
      <w:r>
        <w:rPr>
          <w:rFonts w:ascii="Times New Roman" w:hAnsi="Times New Roman"/>
          <w:b w:val="false"/>
          <w:i/>
          <w:color w:val="000000"/>
          <w:sz w:val="22"/>
        </w:rPr>
        <w:t xml:space="preserve">Order of benefit determination. </w:t>
      </w:r>
      <w:r>
        <w:rPr>
          <w:rFonts w:ascii="Times New Roman" w:hAnsi="Times New Roman"/>
          <w:b w:val="false"/>
          <w:i w:val="false"/>
          <w:color w:val="000000"/>
          <w:sz w:val="22"/>
        </w:rPr>
        <w:t>Each plan determines its order of benefits using the first of the following rules that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Nondependent or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subparagraph </w:t>
      </w:r>
      <w:hyperlink r:id="rId11">
        <w:r>
          <w:rPr>
            <w:rStyle w:val="Hyperlink"/>
            <w:rFonts w:ascii="Times New Roman" w:hAnsi="Times New Roman"/>
            <w:b w:val="false"/>
            <w:i w:val="false"/>
            <w:color w:val="000000"/>
            <w:sz w:val="22"/>
          </w:rPr>
          <w:t>38.15(4)</w:t>
        </w:r>
      </w:hyperlink>
      <w:r>
        <w:rPr>
          <w:rFonts w:ascii="Times New Roman" w:hAnsi="Times New Roman"/>
          <w:b w:val="false"/>
          <w:i/>
          <w:color w:val="000000"/>
          <w:sz w:val="22"/>
        </w:rPr>
        <w:t>“a”</w:t>
      </w:r>
      <w:r>
        <w:rPr>
          <w:rFonts w:ascii="Times New Roman" w:hAnsi="Times New Roman"/>
          <w:b w:val="false"/>
          <w:i w:val="false"/>
          <w:color w:val="000000"/>
          <w:sz w:val="22"/>
        </w:rPr>
        <w:t>(2), the plan that covers the person other than as a dependent, for example, as an employee, member, subscriber, policyholder or retiree, is the primary plan and the plan that covers the person as a dependent is the secondary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person is a Medicare beneficiary and, as a result of the provisions of Title XVIII of the Social Security Act and implementing regulations, Medicare is secondary to the plan covering the person as a dependent and primary to the plan covering the person as other than a dependent (e.g., a retired employee), then the order of benefits is reversed so that the plan covering the person as an employee, member, subscriber, policyholder or retiree is the secondary plan and the other plan covering the person as a dependent is the primary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Dependent child covered under more than one plan. Unless there is a court decree stating otherwise, plans covering a dependent child shall determine the order of benefits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dependent child whose parents are married or are living together, whether or not they have ever been married, the plan of the parent whose birthday falls earlier in the calendar year is the primary plan; or if both parents have the same birthday, the plan that has covered one of the parents the longest is the primary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dependent child whose parents are divorced or separated or are not living together, whether or not they have ever been married: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a court decree states that one of the parents is responsible for the dependent child’s health care expenses or health care coverage and the plan of that parent has actual knowledge of those terms, that plan is primary. If the parent with responsibility has no health care coverage for the dependent child’s health care expenses, but that parent’s spouse does have health care coverage, that parent’s spouse’s plan is the primary plan. This item shall not apply with respect to any plan year during which benefits are paid or provided before the entity has actual knowledge of the court decree provision;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a court decree states that both parents are responsible for the dependent child’s health care expenses or health care coverage, the provisions of subparagraph </w:t>
      </w:r>
      <w:hyperlink r:id="rId12">
        <w:r>
          <w:rPr>
            <w:rStyle w:val="Hyperlink"/>
            <w:rFonts w:ascii="Times New Roman" w:hAnsi="Times New Roman"/>
            <w:b w:val="false"/>
            <w:i w:val="false"/>
            <w:color w:val="000000"/>
            <w:sz w:val="22"/>
          </w:rPr>
          <w:t>38.15(4)</w:t>
        </w:r>
      </w:hyperlink>
      <w:r>
        <w:rPr>
          <w:rFonts w:ascii="Times New Roman" w:hAnsi="Times New Roman"/>
          <w:b w:val="false"/>
          <w:i/>
          <w:color w:val="000000"/>
          <w:sz w:val="22"/>
        </w:rPr>
        <w:t>“b”</w:t>
      </w:r>
      <w:r>
        <w:rPr>
          <w:rFonts w:ascii="Times New Roman" w:hAnsi="Times New Roman"/>
          <w:b w:val="false"/>
          <w:i w:val="false"/>
          <w:color w:val="000000"/>
          <w:sz w:val="22"/>
        </w:rPr>
        <w:t xml:space="preserve">(1) shall determine the order of benefits;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a court decree states that the parents have joint custody without specifying that one parent has responsibility for the health care expenses or health care coverage of the dependent child, the provisions of subparagraph </w:t>
      </w:r>
      <w:hyperlink r:id="rId13">
        <w:r>
          <w:rPr>
            <w:rStyle w:val="Hyperlink"/>
            <w:rFonts w:ascii="Times New Roman" w:hAnsi="Times New Roman"/>
            <w:b w:val="false"/>
            <w:i w:val="false"/>
            <w:color w:val="000000"/>
            <w:sz w:val="22"/>
          </w:rPr>
          <w:t>38.15(4)</w:t>
        </w:r>
      </w:hyperlink>
      <w:r>
        <w:rPr>
          <w:rFonts w:ascii="Times New Roman" w:hAnsi="Times New Roman"/>
          <w:b w:val="false"/>
          <w:i/>
          <w:color w:val="000000"/>
          <w:sz w:val="22"/>
        </w:rPr>
        <w:t>“b”</w:t>
      </w:r>
      <w:r>
        <w:rPr>
          <w:rFonts w:ascii="Times New Roman" w:hAnsi="Times New Roman"/>
          <w:b w:val="false"/>
          <w:i w:val="false"/>
          <w:color w:val="000000"/>
          <w:sz w:val="22"/>
        </w:rPr>
        <w:t xml:space="preserve">(1) of this paragraph shall determine the order of benefits; or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there is no court decree allocating responsibility for the child’s health care expenses or health care coverage, the order of benefits for the child is as follows:</w:t>
      </w:r>
    </w:p>
    <w:p>
      <w:pPr>
        <w:spacing w:before="0" w:after="0"/>
        <w:ind w:left="120"/>
        <w:jc w:val="both"/>
      </w:pPr>
      <w:r>
        <w:rPr>
          <w:rFonts w:ascii="Times New Roman" w:hAnsi="Times New Roman"/>
          <w:b w:val="false"/>
          <w:i w:val="false"/>
          <w:color w:val="000000"/>
          <w:sz w:val="22"/>
        </w:rPr>
        <w:t>(I) The plan covering the custodial parent;</w:t>
      </w:r>
    </w:p>
    <w:p>
      <w:pPr>
        <w:spacing w:before="0" w:after="0"/>
        <w:ind w:left="120"/>
        <w:jc w:val="both"/>
      </w:pPr>
      <w:r>
        <w:rPr>
          <w:rFonts w:ascii="Times New Roman" w:hAnsi="Times New Roman"/>
          <w:b w:val="false"/>
          <w:i w:val="false"/>
          <w:color w:val="000000"/>
          <w:sz w:val="22"/>
        </w:rPr>
        <w:t>(II) The plan covering the custodial parent’s spouse;</w:t>
      </w:r>
    </w:p>
    <w:p>
      <w:pPr>
        <w:spacing w:before="0" w:after="0"/>
        <w:ind w:left="120"/>
        <w:jc w:val="both"/>
      </w:pPr>
      <w:r>
        <w:rPr>
          <w:rFonts w:ascii="Times New Roman" w:hAnsi="Times New Roman"/>
          <w:b w:val="false"/>
          <w:i w:val="false"/>
          <w:color w:val="000000"/>
          <w:sz w:val="22"/>
        </w:rPr>
        <w:t>(III) The plan covering the noncustodial parent; and then</w:t>
      </w:r>
    </w:p>
    <w:p>
      <w:pPr>
        <w:spacing w:before="0" w:after="0"/>
        <w:ind w:left="120"/>
        <w:jc w:val="both"/>
      </w:pPr>
      <w:r>
        <w:rPr>
          <w:rFonts w:ascii="Times New Roman" w:hAnsi="Times New Roman"/>
          <w:b w:val="false"/>
          <w:i w:val="false"/>
          <w:color w:val="000000"/>
          <w:sz w:val="22"/>
        </w:rPr>
        <w:t>(IV) The plan covering the noncustodial parent’s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dependent child covered under more than one plan of individuals who are not the parents of the child, the order of benefits shall be determined, as applicable, under subparagraph </w:t>
      </w:r>
      <w:hyperlink r:id="rId14">
        <w:r>
          <w:rPr>
            <w:rStyle w:val="Hyperlink"/>
            <w:rFonts w:ascii="Times New Roman" w:hAnsi="Times New Roman"/>
            <w:b w:val="false"/>
            <w:i w:val="false"/>
            <w:color w:val="000000"/>
            <w:sz w:val="22"/>
          </w:rPr>
          <w:t>38.15(4)</w:t>
        </w:r>
      </w:hyperlink>
      <w:r>
        <w:rPr>
          <w:rFonts w:ascii="Times New Roman" w:hAnsi="Times New Roman"/>
          <w:b w:val="false"/>
          <w:i/>
          <w:color w:val="000000"/>
          <w:sz w:val="22"/>
        </w:rPr>
        <w:t>“b”</w:t>
      </w:r>
      <w:r>
        <w:rPr>
          <w:rFonts w:ascii="Times New Roman" w:hAnsi="Times New Roman"/>
          <w:b w:val="false"/>
          <w:i w:val="false"/>
          <w:color w:val="000000"/>
          <w:sz w:val="22"/>
        </w:rPr>
        <w:t>(1) or (2) as if those individuals were parents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Active employee or retired or laid-off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that covers a person as an active employee, that is, an employee who is neither laid off nor retired or as a dependent of an active employee, is the primary plan. The plan covering that same person as a retired or laid-off employee or as a dependent of a retired or laid-off employee is the secondary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other plan does not have the provision stated in subparagraph </w:t>
      </w:r>
      <w:hyperlink r:id="rId15">
        <w:r>
          <w:rPr>
            <w:rStyle w:val="Hyperlink"/>
            <w:rFonts w:ascii="Times New Roman" w:hAnsi="Times New Roman"/>
            <w:b w:val="false"/>
            <w:i w:val="false"/>
            <w:color w:val="000000"/>
            <w:sz w:val="22"/>
          </w:rPr>
          <w:t>38.15(4)</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as a result, the plans do not agree on the order of benefits, subparagraph </w:t>
      </w:r>
      <w:hyperlink r:id="rId16">
        <w:r>
          <w:rPr>
            <w:rStyle w:val="Hyperlink"/>
            <w:rFonts w:ascii="Times New Roman" w:hAnsi="Times New Roman"/>
            <w:b w:val="false"/>
            <w:i w:val="false"/>
            <w:color w:val="000000"/>
            <w:sz w:val="22"/>
          </w:rPr>
          <w:t>38.15(4)</w:t>
        </w:r>
      </w:hyperlink>
      <w:r>
        <w:rPr>
          <w:rFonts w:ascii="Times New Roman" w:hAnsi="Times New Roman"/>
          <w:b w:val="false"/>
          <w:i/>
          <w:color w:val="000000"/>
          <w:sz w:val="22"/>
        </w:rPr>
        <w:t>“c”</w:t>
      </w:r>
      <w:r>
        <w:rPr>
          <w:rFonts w:ascii="Times New Roman" w:hAnsi="Times New Roman"/>
          <w:b w:val="false"/>
          <w:i w:val="false"/>
          <w:color w:val="000000"/>
          <w:sz w:val="22"/>
        </w:rPr>
        <w:t>(1) is ignored.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7">
        <w:r>
          <w:rPr>
            <w:rStyle w:val="Hyperlink"/>
            <w:rFonts w:ascii="Times New Roman" w:hAnsi="Times New Roman"/>
            <w:b w:val="false"/>
            <w:i w:val="false"/>
            <w:color w:val="000000"/>
            <w:sz w:val="22"/>
          </w:rPr>
          <w:t>38.15(4)</w:t>
        </w:r>
      </w:hyperlink>
      <w:r>
        <w:rPr>
          <w:rFonts w:ascii="Times New Roman" w:hAnsi="Times New Roman"/>
          <w:b w:val="false"/>
          <w:i/>
          <w:color w:val="000000"/>
          <w:sz w:val="22"/>
        </w:rPr>
        <w:t>“c”</w:t>
      </w:r>
      <w:r>
        <w:rPr>
          <w:rFonts w:ascii="Times New Roman" w:hAnsi="Times New Roman"/>
          <w:b w:val="false"/>
          <w:i w:val="false"/>
          <w:color w:val="000000"/>
          <w:sz w:val="22"/>
        </w:rPr>
        <w:t xml:space="preserve"> does not apply if the provisions of paragraph </w:t>
      </w:r>
      <w:hyperlink r:id="rId18">
        <w:r>
          <w:rPr>
            <w:rStyle w:val="Hyperlink"/>
            <w:rFonts w:ascii="Times New Roman" w:hAnsi="Times New Roman"/>
            <w:b w:val="false"/>
            <w:i w:val="false"/>
            <w:color w:val="000000"/>
            <w:sz w:val="22"/>
          </w:rPr>
          <w:t>38.15(4)</w:t>
        </w:r>
      </w:hyperlink>
      <w:r>
        <w:rPr>
          <w:rFonts w:ascii="Times New Roman" w:hAnsi="Times New Roman"/>
          <w:b w:val="false"/>
          <w:i/>
          <w:color w:val="000000"/>
          <w:sz w:val="22"/>
        </w:rPr>
        <w:t>“a”</w:t>
      </w:r>
      <w:r>
        <w:rPr>
          <w:rFonts w:ascii="Times New Roman" w:hAnsi="Times New Roman"/>
          <w:b w:val="false"/>
          <w:i w:val="false"/>
          <w:color w:val="000000"/>
          <w:sz w:val="22"/>
        </w:rPr>
        <w:t xml:space="preserve"> can determine the order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COBRA or state continuation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person whose coverage is provided pursuant to COBRA or under a right of continuation pursuant to state law or other federal law is covered under another plan, the plan covering the person as an employee, member, subscriber or retiree or covering the person as a dependent of an employee, member, subscriber or retiree is the primary plan, and the plan covering that same person pursuant to COBRA or under a right of continuation pursuant to state law or other federal law is the secondary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other plan does not have the provision stated in subparagraph </w:t>
      </w:r>
      <w:hyperlink r:id="rId19">
        <w:r>
          <w:rPr>
            <w:rStyle w:val="Hyperlink"/>
            <w:rFonts w:ascii="Times New Roman" w:hAnsi="Times New Roman"/>
            <w:b w:val="false"/>
            <w:i w:val="false"/>
            <w:color w:val="000000"/>
            <w:sz w:val="22"/>
          </w:rPr>
          <w:t>38.15(4)</w:t>
        </w:r>
      </w:hyperlink>
      <w:r>
        <w:rPr>
          <w:rFonts w:ascii="Times New Roman" w:hAnsi="Times New Roman"/>
          <w:b w:val="false"/>
          <w:i/>
          <w:color w:val="000000"/>
          <w:sz w:val="22"/>
        </w:rPr>
        <w:t>“d”</w:t>
      </w:r>
      <w:r>
        <w:rPr>
          <w:rFonts w:ascii="Times New Roman" w:hAnsi="Times New Roman"/>
          <w:b w:val="false"/>
          <w:i w:val="false"/>
          <w:color w:val="000000"/>
          <w:sz w:val="22"/>
        </w:rPr>
        <w:t xml:space="preserve">(1), and if, as a result, the plans do not agree on the order of benefits, subparagraph </w:t>
      </w:r>
      <w:hyperlink r:id="rId20">
        <w:r>
          <w:rPr>
            <w:rStyle w:val="Hyperlink"/>
            <w:rFonts w:ascii="Times New Roman" w:hAnsi="Times New Roman"/>
            <w:b w:val="false"/>
            <w:i w:val="false"/>
            <w:color w:val="000000"/>
            <w:sz w:val="22"/>
          </w:rPr>
          <w:t>38.15(4)</w:t>
        </w:r>
      </w:hyperlink>
      <w:r>
        <w:rPr>
          <w:rFonts w:ascii="Times New Roman" w:hAnsi="Times New Roman"/>
          <w:b w:val="false"/>
          <w:i/>
          <w:color w:val="000000"/>
          <w:sz w:val="22"/>
        </w:rPr>
        <w:t>“d”</w:t>
      </w:r>
      <w:r>
        <w:rPr>
          <w:rFonts w:ascii="Times New Roman" w:hAnsi="Times New Roman"/>
          <w:b w:val="false"/>
          <w:i w:val="false"/>
          <w:color w:val="000000"/>
          <w:sz w:val="22"/>
        </w:rPr>
        <w:t>(1) is ignored.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21">
        <w:r>
          <w:rPr>
            <w:rStyle w:val="Hyperlink"/>
            <w:rFonts w:ascii="Times New Roman" w:hAnsi="Times New Roman"/>
            <w:b w:val="false"/>
            <w:i w:val="false"/>
            <w:color w:val="000000"/>
            <w:sz w:val="22"/>
          </w:rPr>
          <w:t>38.15(4)</w:t>
        </w:r>
      </w:hyperlink>
      <w:r>
        <w:rPr>
          <w:rFonts w:ascii="Times New Roman" w:hAnsi="Times New Roman"/>
          <w:b w:val="false"/>
          <w:i/>
          <w:color w:val="000000"/>
          <w:sz w:val="22"/>
        </w:rPr>
        <w:t xml:space="preserve">“d” </w:t>
      </w:r>
      <w:r>
        <w:rPr>
          <w:rFonts w:ascii="Times New Roman" w:hAnsi="Times New Roman"/>
          <w:b w:val="false"/>
          <w:i w:val="false"/>
          <w:color w:val="000000"/>
          <w:sz w:val="22"/>
        </w:rPr>
        <w:t xml:space="preserve">does not apply if the provisions of paragraph </w:t>
      </w:r>
      <w:hyperlink r:id="rId22">
        <w:r>
          <w:rPr>
            <w:rStyle w:val="Hyperlink"/>
            <w:rFonts w:ascii="Times New Roman" w:hAnsi="Times New Roman"/>
            <w:b w:val="false"/>
            <w:i w:val="false"/>
            <w:color w:val="000000"/>
            <w:sz w:val="22"/>
          </w:rPr>
          <w:t>38.15(4)</w:t>
        </w:r>
      </w:hyperlink>
      <w:r>
        <w:rPr>
          <w:rFonts w:ascii="Times New Roman" w:hAnsi="Times New Roman"/>
          <w:b w:val="false"/>
          <w:i/>
          <w:color w:val="000000"/>
          <w:sz w:val="22"/>
        </w:rPr>
        <w:t>“a”</w:t>
      </w:r>
      <w:r>
        <w:rPr>
          <w:rFonts w:ascii="Times New Roman" w:hAnsi="Times New Roman"/>
          <w:b w:val="false"/>
          <w:i w:val="false"/>
          <w:color w:val="000000"/>
          <w:sz w:val="22"/>
        </w:rPr>
        <w:t xml:space="preserve"> can determine the order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Longer or shorter length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preceding provisions stated in paragraphs </w:t>
      </w:r>
      <w:hyperlink r:id="rId23">
        <w:r>
          <w:rPr>
            <w:rStyle w:val="Hyperlink"/>
            <w:rFonts w:ascii="Times New Roman" w:hAnsi="Times New Roman"/>
            <w:b w:val="false"/>
            <w:i w:val="false"/>
            <w:color w:val="000000"/>
            <w:sz w:val="22"/>
          </w:rPr>
          <w:t>38.15(4)</w:t>
        </w:r>
      </w:hyperlink>
      <w:r>
        <w:rPr>
          <w:rFonts w:ascii="Times New Roman" w:hAnsi="Times New Roman"/>
          <w:b w:val="false"/>
          <w:i/>
          <w:color w:val="000000"/>
          <w:sz w:val="22"/>
        </w:rPr>
        <w:t xml:space="preserve">“a” </w:t>
      </w:r>
      <w:r>
        <w:rPr>
          <w:rFonts w:ascii="Times New Roman" w:hAnsi="Times New Roman"/>
          <w:b w:val="false"/>
          <w:i w:val="false"/>
          <w:color w:val="000000"/>
          <w:sz w:val="22"/>
        </w:rPr>
        <w:t>through</w:t>
      </w:r>
      <w:r>
        <w:rPr>
          <w:rFonts w:ascii="Times New Roman" w:hAnsi="Times New Roman"/>
          <w:b w:val="false"/>
          <w:i/>
          <w:color w:val="000000"/>
          <w:sz w:val="22"/>
        </w:rPr>
        <w:t xml:space="preserve"> “d”</w:t>
      </w:r>
      <w:r>
        <w:rPr>
          <w:rFonts w:ascii="Times New Roman" w:hAnsi="Times New Roman"/>
          <w:b w:val="false"/>
          <w:i w:val="false"/>
          <w:color w:val="000000"/>
          <w:sz w:val="22"/>
        </w:rPr>
        <w:t xml:space="preserve"> do not determine the order of benefits, the plan that covered the person for the longer period of time is the primary plan and the plan that covered the person for the shorter period of time is the secondary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the length of time during which a person has been covered under a plan, two successive plans shall be treated as one if the covered person was eligible under the second plan within 24 hours after coverage under the first plan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start of a new plan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change in the amount or scope of a plan’s benefits;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change in the entity that pays, provides or administers the plan’s benefits;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change from one type of plan to another, such as from a single employer plan to a multiple employer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length of time during which a person is covered under a plan is measured from the person’s first date of coverage under that plan. If that date is not readily available for a group plan, the date on which the person first became a member of the group shall be used as the date from which to determine the length of time the person’s coverage under the present plan has been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none of the preceding provisions stated in paragraphs </w:t>
      </w:r>
      <w:hyperlink r:id="rId24">
        <w:r>
          <w:rPr>
            <w:rStyle w:val="Hyperlink"/>
            <w:rFonts w:ascii="Times New Roman" w:hAnsi="Times New Roman"/>
            <w:b w:val="false"/>
            <w:i w:val="false"/>
            <w:color w:val="000000"/>
            <w:sz w:val="22"/>
          </w:rPr>
          <w:t>38.15(4)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determine the order of benefits, the allowable expenses shall be shared equally between the plans.</w:t>
      </w:r>
    </w:p>
    <w:p>
      <w:pPr>
        <w:spacing w:before="210" w:after="0"/>
        <w:ind w:left="120"/>
        <w:jc w:val="both"/>
      </w:pPr>
      <w:r>
        <w:rPr>
          <w:rFonts w:ascii="Times New Roman" w:hAnsi="Times New Roman"/>
          <w:b/>
          <w:i w:val="false"/>
          <w:color w:val="000000"/>
          <w:sz w:val="22"/>
        </w:rPr>
        <w:t>191—38.16</w:t>
      </w:r>
      <w:r>
        <w:rPr>
          <w:rFonts w:ascii="Times New Roman" w:hAnsi="Times New Roman"/>
          <w:b/>
          <w:i w:val="false"/>
          <w:color w:val="000000"/>
          <w:sz w:val="22"/>
        </w:rPr>
        <w:t xml:space="preserve">(509,514) </w:t>
      </w:r>
      <w:r>
        <w:rPr>
          <w:rFonts w:ascii="Times New Roman" w:hAnsi="Times New Roman"/>
          <w:b/>
          <w:i w:val="false"/>
          <w:color w:val="000000"/>
          <w:sz w:val="22"/>
        </w:rPr>
        <w:t xml:space="preserve">Procedure to be followed by secondary plan to calculate benefits and pay a claim. </w:t>
      </w:r>
      <w:r>
        <w:rPr>
          <w:rFonts w:ascii="Times New Roman" w:hAnsi="Times New Roman"/>
          <w:b w:val="false"/>
          <w:i w:val="false"/>
          <w:color w:val="000000"/>
          <w:sz w:val="22"/>
        </w:rPr>
        <w:t>In determining the amount to be paid by the secondary plan on a claim, should the plan wish to coordinate benefits, the secondary plan shall calculate the benefits it would have paid on the claim in the absence of other health care coverage and apply that calculated amount to any allowable expense under its plan that is unpaid by the primary plan. The secondary plan may reduce its payment by an amount so that, when combined with the amount paid by the primary plan, the total benefits paid or provided by all plans for the claim do not exceed 100 percent of the total allowable expense for that claim. In addition, the secondary plan shall credit to its plan deductible any amounts it would have credited to its deductible in the absence of other health care coverage.</w:t>
      </w:r>
    </w:p>
    <w:p>
      <w:pPr>
        <w:spacing w:before="210" w:after="0"/>
        <w:ind w:left="120"/>
        <w:jc w:val="both"/>
      </w:pPr>
      <w:r>
        <w:rPr>
          <w:rFonts w:ascii="Times New Roman" w:hAnsi="Times New Roman"/>
          <w:b/>
          <w:i w:val="false"/>
          <w:color w:val="000000"/>
          <w:sz w:val="22"/>
        </w:rPr>
        <w:t>191—38.17</w:t>
      </w:r>
      <w:r>
        <w:rPr>
          <w:rFonts w:ascii="Times New Roman" w:hAnsi="Times New Roman"/>
          <w:b/>
          <w:i w:val="false"/>
          <w:color w:val="000000"/>
          <w:sz w:val="22"/>
        </w:rPr>
        <w:t xml:space="preserve">(509,514) </w:t>
      </w:r>
      <w:r>
        <w:rPr>
          <w:rFonts w:ascii="Times New Roman" w:hAnsi="Times New Roman"/>
          <w:b/>
          <w:i w:val="false"/>
          <w:color w:val="000000"/>
          <w:sz w:val="22"/>
        </w:rPr>
        <w:t xml:space="preserve">Notice to covered persons. </w:t>
      </w:r>
      <w:r>
        <w:rPr>
          <w:rFonts w:ascii="Times New Roman" w:hAnsi="Times New Roman"/>
          <w:b w:val="false"/>
          <w:i w:val="false"/>
          <w:color w:val="000000"/>
          <w:sz w:val="22"/>
        </w:rPr>
        <w:t>A plan shall, in its explanation of benefits provided to covered persons, include the following language: “If you are covered by more than one health benefit plan, you should file all your claims with each plan.”</w:t>
      </w:r>
    </w:p>
    <w:p>
      <w:pPr>
        <w:spacing w:before="0" w:after="0"/>
        <w:ind w:left="120"/>
        <w:jc w:val="both"/>
      </w:pPr>
      <w:r>
        <w:rPr>
          <w:rFonts w:ascii="Times New Roman" w:hAnsi="Times New Roman"/>
          <w:b/>
          <w:i w:val="false"/>
          <w:color w:val="000000"/>
          <w:sz w:val="22"/>
        </w:rPr>
        <w:t>191—38.18</w:t>
      </w:r>
      <w:r>
        <w:rPr>
          <w:rFonts w:ascii="Times New Roman" w:hAnsi="Times New Roman"/>
          <w:b/>
          <w:i w:val="false"/>
          <w:color w:val="000000"/>
          <w:sz w:val="22"/>
        </w:rPr>
        <w:t xml:space="preserve">(509,514) </w:t>
      </w:r>
      <w:r>
        <w:rPr>
          <w:rFonts w:ascii="Times New Roman" w:hAnsi="Times New Roman"/>
          <w:b/>
          <w:i w:val="false"/>
          <w:color w:val="000000"/>
          <w:sz w:val="22"/>
        </w:rPr>
        <w:t xml:space="preserve">Miscellaneous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38.18(1)</w:t>
      </w:r>
      <w:r>
        <w:rPr>
          <w:rFonts w:ascii="Times New Roman" w:hAnsi="Times New Roman"/>
          <w:b w:val="false"/>
          <w:i w:val="false"/>
          <w:color w:val="000000"/>
          <w:sz w:val="22"/>
        </w:rPr>
        <w:t> </w:t>
      </w:r>
      <w:r>
        <w:rPr>
          <w:rFonts w:ascii="Times New Roman" w:hAnsi="Times New Roman"/>
          <w:b w:val="false"/>
          <w:i w:val="false"/>
          <w:color w:val="000000"/>
          <w:sz w:val="22"/>
        </w:rPr>
        <w:t>A secondary plan that provides benefits in the form of services may recover the reasonable cash value of the services from the primary plan, to the extent that benefits for the services are covered by the primary plan and have not already been paid or provided by the primary plan. Nothing in this subrule shall be interpreted to require a plan to reimburse a covered person in cash for the value of services provided by a plan that provides benefits in the form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38.18(2)</w:t>
      </w:r>
      <w:r>
        <w:rPr>
          <w:rFonts w:ascii="Times New Roman" w:hAnsi="Times New Roman"/>
          <w:b w:val="false"/>
          <w:i w:val="false"/>
          <w:color w:val="000000"/>
          <w:sz w:val="22"/>
        </w:rPr>
        <w:t> </w:t>
      </w:r>
      <w:r>
        <w:rPr>
          <w:rFonts w:ascii="Times New Roman" w:hAnsi="Times New Roman"/>
          <w:b w:val="false"/>
          <w:i w:val="false"/>
          <w:color w:val="000000"/>
          <w:sz w:val="22"/>
        </w:rPr>
        <w:t>Complying and noncomplying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plan with order of benefit determination provisions that comply with this division (complying plan) may coordinate its benefits with a plan that is “excess” or “always secondary” or that uses order of benefit determination rules that are inconsistent with those contained in this division (noncomplying plan) on the following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complying plan is the primary plan, it shall pay or provide its benefits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complying plan is the secondary plan, it shall pay or provide its benefits first, but the amount of the benefits payable shall be determined as if the complying plan were the secondary plan. In such a situation, the payment shall be the limit of the complying plan’s liability;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noncomplying plan does not provide the information needed by the complying plan to determine the complying plan’s benefits within a reasonable time after the noncomplying plan is requested to do so, the complying plan shall assume that the benefits of the noncomplying plan are identical to its own, and shall pay its benefits accordingly. If, within two years of payment, the complying plan receives information as to the actual benefits of the noncomplying plan, the complying plan shall adjust payments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noncomplying plan reduces its benefits so that the covered person receives less in benefits than the covered person would have received had the complying plan paid or provided its benefits as the secondary plan and the noncomplying plan paid or provided its benefits as the primary plan, and governing state law allows the right of subrogation set forth below, then the complying plan shall advance to the covered person or on behalf of the covered person an amount equal to the difference.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no event shall the complying plan advance more than the complying plan would have paid had it been the primary plan less any amount it previously paid for the same expense or service. In consideration of the advance, the complying plan shall be subrogated to all rights of the covered person against the noncomplying plan. The advance by the complying plan shall also be without prejudice to any claim it may have against a noncomplying plan in the absence of subrogation.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38.18(3)</w:t>
      </w:r>
      <w:r>
        <w:rPr>
          <w:rFonts w:ascii="Times New Roman" w:hAnsi="Times New Roman"/>
          <w:b w:val="false"/>
          <w:i w:val="false"/>
          <w:color w:val="000000"/>
          <w:sz w:val="22"/>
        </w:rPr>
        <w:t> </w:t>
      </w:r>
      <w:r>
        <w:rPr>
          <w:rFonts w:ascii="Times New Roman" w:hAnsi="Times New Roman"/>
          <w:b w:val="false"/>
          <w:i w:val="false"/>
          <w:color w:val="000000"/>
          <w:sz w:val="22"/>
        </w:rPr>
        <w:t>COB differs from subrogation. Provisions for COB or subrogation may be included in health care benefits contracts without compelling the inclusion or exclusion of either.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38.18(4)</w:t>
      </w:r>
      <w:r>
        <w:rPr>
          <w:rFonts w:ascii="Times New Roman" w:hAnsi="Times New Roman"/>
          <w:b w:val="false"/>
          <w:i w:val="false"/>
          <w:color w:val="000000"/>
          <w:sz w:val="22"/>
        </w:rPr>
        <w:t> </w:t>
      </w:r>
      <w:r>
        <w:rPr>
          <w:rFonts w:ascii="Times New Roman" w:hAnsi="Times New Roman"/>
          <w:b w:val="false"/>
          <w:i w:val="false"/>
          <w:color w:val="000000"/>
          <w:sz w:val="22"/>
        </w:rPr>
        <w:t>If the plans cannot agree on the order of benefits within 30 calendar days after the plans have received all of the information needed to pay the claim, the plans shall immediately pay the claim in equal shares and determine their relative liabilities following payment, except that no plan shall be required to pay more than it would have paid had it been the primary plan.</w:t>
      </w:r>
    </w:p>
    <w:p>
      <w:pPr>
        <w:spacing w:before="210" w:after="0"/>
        <w:ind w:left="120"/>
        <w:jc w:val="both"/>
      </w:pPr>
      <w:r>
        <w:rPr>
          <w:rFonts w:ascii="Times New Roman" w:hAnsi="Times New Roman"/>
          <w:b/>
          <w:i w:val="false"/>
          <w:color w:val="000000"/>
          <w:sz w:val="22"/>
        </w:rPr>
        <w:t>191—38.19</w:t>
      </w:r>
      <w:r>
        <w:rPr>
          <w:rFonts w:ascii="Times New Roman" w:hAnsi="Times New Roman"/>
          <w:b/>
          <w:i w:val="false"/>
          <w:color w:val="000000"/>
          <w:sz w:val="22"/>
        </w:rPr>
        <w:t xml:space="preserve">(509,514) </w:t>
      </w:r>
      <w:r>
        <w:rPr>
          <w:rFonts w:ascii="Times New Roman" w:hAnsi="Times New Roman"/>
          <w:b/>
          <w:i w:val="false"/>
          <w:color w:val="000000"/>
          <w:sz w:val="22"/>
        </w:rPr>
        <w:t xml:space="preserve">Effective date for existing contracts. </w:t>
      </w:r>
      <w:r>
        <w:rPr>
          <w:rFonts w:ascii="Times New Roman" w:hAnsi="Times New Roman"/>
          <w:b w:val="false"/>
          <w:i w:val="false"/>
          <w:color w:val="000000"/>
          <w:sz w:val="22"/>
        </w:rPr>
        <w:t>Rescinded IAB 10/20/10, effective 11/24/10.</w:t>
      </w:r>
    </w:p>
    <w:p>
      <w:pPr>
        <w:pageBreakBefore/>
        <w:spacing w:before="0" w:after="0"/>
        <w:ind w:left="120"/>
        <w:jc w:val="left"/>
      </w:pPr>
    </w:p>
    <w:p>
      <w:pPr>
        <w:spacing w:before="0" w:after="0"/>
        <w:ind w:left="120"/>
        <w:jc w:val="center"/>
      </w:pPr>
      <w:r>
        <w:rPr>
          <w:rFonts w:ascii="Times New Roman" w:hAnsi="Times New Roman"/>
          <w:b/>
          <w:i w:val="false"/>
          <w:color w:val="000000"/>
          <w:sz w:val="22"/>
        </w:rPr>
        <w:t>APPENDIX A    MODEL COB CONTRACT PROVISIONS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COORDINATION OF THIS CONTRACT’S BENEFITS WITH OTHER BENEFITS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Coordination of Benefits (COB) provision applies when a person has health care coverage under more than one </w:t>
      </w:r>
      <w:r>
        <w:rPr>
          <w:rFonts w:ascii="Times New Roman" w:hAnsi="Times New Roman"/>
          <w:b/>
          <w:i w:val="false"/>
          <w:color w:val="000000"/>
          <w:sz w:val="22"/>
        </w:rPr>
        <w:t>Plan</w:t>
      </w:r>
      <w:r>
        <w:rPr>
          <w:rFonts w:ascii="Times New Roman" w:hAnsi="Times New Roman"/>
          <w:b w:val="false"/>
          <w:i w:val="false"/>
          <w:color w:val="000000"/>
          <w:sz w:val="22"/>
        </w:rPr>
        <w:t xml:space="preserve">. </w:t>
      </w:r>
      <w:r>
        <w:rPr>
          <w:rFonts w:ascii="Times New Roman" w:hAnsi="Times New Roman"/>
          <w:b/>
          <w:i w:val="false"/>
          <w:color w:val="000000"/>
          <w:sz w:val="22"/>
        </w:rPr>
        <w:t>Plan</w:t>
      </w:r>
      <w:r>
        <w:rPr>
          <w:rFonts w:ascii="Times New Roman" w:hAnsi="Times New Roman"/>
          <w:b w:val="false"/>
          <w:i w:val="false"/>
          <w:color w:val="000000"/>
          <w:sz w:val="22"/>
        </w:rPr>
        <w:t xml:space="preserve"> is defined below.</w:t>
      </w:r>
    </w:p>
    <w:p>
      <w:pPr>
        <w:spacing w:before="0" w:after="0"/>
        <w:ind w:left="120"/>
        <w:jc w:val="both"/>
      </w:pPr>
      <w:r>
        <w:rPr>
          <w:rFonts w:ascii="Times New Roman" w:hAnsi="Times New Roman"/>
          <w:b w:val="false"/>
          <w:i w:val="false"/>
          <w:color w:val="000000"/>
          <w:sz w:val="22"/>
        </w:rPr>
        <w:t xml:space="preserve">The order of benefit determination rules govern the order in which each </w:t>
      </w:r>
      <w:r>
        <w:rPr>
          <w:rFonts w:ascii="Times New Roman" w:hAnsi="Times New Roman"/>
          <w:b/>
          <w:i w:val="false"/>
          <w:color w:val="000000"/>
          <w:sz w:val="22"/>
        </w:rPr>
        <w:t>Plan</w:t>
      </w:r>
      <w:r>
        <w:rPr>
          <w:rFonts w:ascii="Times New Roman" w:hAnsi="Times New Roman"/>
          <w:b w:val="false"/>
          <w:i w:val="false"/>
          <w:color w:val="000000"/>
          <w:sz w:val="22"/>
        </w:rPr>
        <w:t xml:space="preserve"> will pay a claim for benefits. The </w:t>
      </w:r>
      <w:r>
        <w:rPr>
          <w:rFonts w:ascii="Times New Roman" w:hAnsi="Times New Roman"/>
          <w:b/>
          <w:i w:val="false"/>
          <w:color w:val="000000"/>
          <w:sz w:val="22"/>
        </w:rPr>
        <w:t>Plan</w:t>
      </w:r>
      <w:r>
        <w:rPr>
          <w:rFonts w:ascii="Times New Roman" w:hAnsi="Times New Roman"/>
          <w:b w:val="false"/>
          <w:i w:val="false"/>
          <w:color w:val="000000"/>
          <w:sz w:val="22"/>
        </w:rPr>
        <w:t xml:space="preserve"> that pays first is called the </w:t>
      </w:r>
      <w:r>
        <w:rPr>
          <w:rFonts w:ascii="Times New Roman" w:hAnsi="Times New Roman"/>
          <w:b/>
          <w:i w:val="false"/>
          <w:color w:val="000000"/>
          <w:sz w:val="22"/>
        </w:rPr>
        <w:t>Primary plan</w:t>
      </w:r>
      <w:r>
        <w:rPr>
          <w:rFonts w:ascii="Times New Roman" w:hAnsi="Times New Roman"/>
          <w:b w:val="false"/>
          <w:i w:val="false"/>
          <w:color w:val="000000"/>
          <w:sz w:val="22"/>
        </w:rPr>
        <w:t xml:space="preserve">. The </w:t>
      </w:r>
      <w:r>
        <w:rPr>
          <w:rFonts w:ascii="Times New Roman" w:hAnsi="Times New Roman"/>
          <w:b/>
          <w:i w:val="false"/>
          <w:color w:val="000000"/>
          <w:sz w:val="22"/>
        </w:rPr>
        <w:t>Primary plan</w:t>
      </w:r>
      <w:r>
        <w:rPr>
          <w:rFonts w:ascii="Times New Roman" w:hAnsi="Times New Roman"/>
          <w:b w:val="false"/>
          <w:i w:val="false"/>
          <w:color w:val="000000"/>
          <w:sz w:val="22"/>
        </w:rPr>
        <w:t xml:space="preserve"> must pay benefits in accordance with its policy terms without regard to the possibility that another </w:t>
      </w:r>
      <w:r>
        <w:rPr>
          <w:rFonts w:ascii="Times New Roman" w:hAnsi="Times New Roman"/>
          <w:b/>
          <w:i w:val="false"/>
          <w:color w:val="000000"/>
          <w:sz w:val="22"/>
        </w:rPr>
        <w:t>Plan</w:t>
      </w:r>
      <w:r>
        <w:rPr>
          <w:rFonts w:ascii="Times New Roman" w:hAnsi="Times New Roman"/>
          <w:b w:val="false"/>
          <w:i w:val="false"/>
          <w:color w:val="000000"/>
          <w:sz w:val="22"/>
        </w:rPr>
        <w:t xml:space="preserve"> may cover some expenses. The </w:t>
      </w:r>
      <w:r>
        <w:rPr>
          <w:rFonts w:ascii="Times New Roman" w:hAnsi="Times New Roman"/>
          <w:b/>
          <w:i w:val="false"/>
          <w:color w:val="000000"/>
          <w:sz w:val="22"/>
        </w:rPr>
        <w:t>Plan</w:t>
      </w:r>
      <w:r>
        <w:rPr>
          <w:rFonts w:ascii="Times New Roman" w:hAnsi="Times New Roman"/>
          <w:b w:val="false"/>
          <w:i w:val="false"/>
          <w:color w:val="000000"/>
          <w:sz w:val="22"/>
        </w:rPr>
        <w:t xml:space="preserve"> that pays after the </w:t>
      </w:r>
      <w:r>
        <w:rPr>
          <w:rFonts w:ascii="Times New Roman" w:hAnsi="Times New Roman"/>
          <w:b/>
          <w:i w:val="false"/>
          <w:color w:val="000000"/>
          <w:sz w:val="22"/>
        </w:rPr>
        <w:t>Primary plan</w:t>
      </w:r>
      <w:r>
        <w:rPr>
          <w:rFonts w:ascii="Times New Roman" w:hAnsi="Times New Roman"/>
          <w:b w:val="false"/>
          <w:i w:val="false"/>
          <w:color w:val="000000"/>
          <w:sz w:val="22"/>
        </w:rPr>
        <w:t xml:space="preserve"> is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may reduce the benefits it pays so that payment from all </w:t>
      </w:r>
      <w:r>
        <w:rPr>
          <w:rFonts w:ascii="Times New Roman" w:hAnsi="Times New Roman"/>
          <w:b/>
          <w:i w:val="false"/>
          <w:color w:val="000000"/>
          <w:sz w:val="22"/>
        </w:rPr>
        <w:t xml:space="preserve">Plans </w:t>
      </w:r>
      <w:r>
        <w:rPr>
          <w:rFonts w:ascii="Times New Roman" w:hAnsi="Times New Roman"/>
          <w:b w:val="false"/>
          <w:i w:val="false"/>
          <w:color w:val="000000"/>
          <w:sz w:val="22"/>
        </w:rPr>
        <w:t xml:space="preserve">does not exceed 100% of the total </w:t>
      </w:r>
      <w:r>
        <w:rPr>
          <w:rFonts w:ascii="Times New Roman" w:hAnsi="Times New Roman"/>
          <w:b/>
          <w:i w:val="false"/>
          <w:color w:val="000000"/>
          <w:sz w:val="22"/>
        </w:rPr>
        <w:t>Allowable expense</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DEFINITIONS</w:t>
      </w:r>
    </w:p>
    <w:p>
      <w:pPr>
        <w:spacing w:before="0" w:after="0"/>
        <w:ind w:left="480"/>
        <w:jc w:val="both"/>
      </w:pPr>
      <w:r>
        <w:rPr>
          <w:rFonts w:ascii="Times New Roman" w:hAnsi="Times New Roman"/>
          <w:b w:val="false"/>
          <w:i w:val="false"/>
          <w:color w:val="000000"/>
          <w:sz w:val="22"/>
        </w:rPr>
        <w:t xml:space="preserve">A.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 </w:t>
      </w:r>
      <w:r>
        <w:rPr>
          <w:rFonts w:ascii="Times New Roman" w:hAnsi="Times New Roman"/>
          <w:b/>
          <w:i w:val="false"/>
          <w:color w:val="000000"/>
          <w:sz w:val="22"/>
        </w:rPr>
        <w:t>Plan</w:t>
      </w:r>
      <w:r>
        <w:rPr>
          <w:rFonts w:ascii="Times New Roman" w:hAnsi="Times New Roman"/>
          <w:b w:val="false"/>
          <w:i w:val="false"/>
          <w:color w:val="000000"/>
          <w:sz w:val="22"/>
        </w:rPr>
        <w:t xml:space="preserve"> is any of the following that provides benefits or services for medical or dental care or treatment. If separate contracts are used to provide coordinated coverage for members of a group, the separate contracts are considered parts of the same plan and there is no COB among those separate contracts.</w:t>
      </w:r>
    </w:p>
    <w:p>
      <w:pPr>
        <w:spacing w:before="0" w:after="0"/>
        <w:ind w:left="930"/>
        <w:jc w:val="both"/>
      </w:pPr>
      <w:r>
        <w:rPr>
          <w:rFonts w:ascii="Times New Roman" w:hAnsi="Times New Roman"/>
          <w:b w:val="false"/>
          <w:i w:val="false"/>
          <w:color w:val="000000"/>
          <w:sz w:val="22"/>
        </w:rPr>
        <w:t xml:space="preserve">(1) </w:t>
      </w:r>
      <w:r>
        <w:rPr>
          <w:rFonts w:ascii="Times New Roman" w:hAnsi="Times New Roman"/>
          <w:b w:val="false"/>
          <w:i w:val="false"/>
          <w:color w:val="000000"/>
          <w:sz w:val="22"/>
        </w:rPr>
        <w:t> </w:t>
      </w:r>
    </w:p>
    <w:p>
      <w:pPr>
        <w:spacing w:before="0" w:after="0"/>
        <w:ind w:left="0"/>
        <w:jc w:val="both"/>
      </w:pPr>
      <w:r>
        <w:rPr>
          <w:rFonts w:ascii="Times New Roman" w:hAnsi="Times New Roman"/>
          <w:b/>
          <w:i w:val="false"/>
          <w:color w:val="000000"/>
          <w:sz w:val="22"/>
        </w:rPr>
        <w:t>Plan</w:t>
      </w:r>
      <w:r>
        <w:rPr>
          <w:rFonts w:ascii="Times New Roman" w:hAnsi="Times New Roman"/>
          <w:b w:val="false"/>
          <w:i w:val="false"/>
          <w:color w:val="000000"/>
          <w:sz w:val="22"/>
        </w:rPr>
        <w:t xml:space="preserve"> includes: group and nongroup insurance contracts, health maintenance organization (HMO) contracts, closed panel plans or other forms of group or group-type coverage (whether insured or uninsured); medical care components of long-term care contracts, such as skilled nursing care; medical benefits under group or individual automobile contracts; and Medicare or any other federal governmental plan, as permitted by law.</w:t>
      </w:r>
    </w:p>
    <w:p>
      <w:pPr>
        <w:spacing w:before="0" w:after="0"/>
        <w:ind w:left="930"/>
        <w:jc w:val="both"/>
      </w:pPr>
      <w:r>
        <w:rPr>
          <w:rFonts w:ascii="Times New Roman" w:hAnsi="Times New Roman"/>
          <w:b w:val="false"/>
          <w:i w:val="false"/>
          <w:color w:val="000000"/>
          <w:sz w:val="22"/>
        </w:rPr>
        <w:t xml:space="preserve">(2) </w:t>
      </w:r>
      <w:r>
        <w:rPr>
          <w:rFonts w:ascii="Times New Roman" w:hAnsi="Times New Roman"/>
          <w:b w:val="false"/>
          <w:i w:val="false"/>
          <w:color w:val="000000"/>
          <w:sz w:val="22"/>
        </w:rPr>
        <w:t> </w:t>
      </w:r>
    </w:p>
    <w:p>
      <w:pPr>
        <w:spacing w:before="0" w:after="0"/>
        <w:ind w:left="0"/>
        <w:jc w:val="both"/>
      </w:pPr>
      <w:r>
        <w:rPr>
          <w:rFonts w:ascii="Times New Roman" w:hAnsi="Times New Roman"/>
          <w:b/>
          <w:i w:val="false"/>
          <w:color w:val="000000"/>
          <w:sz w:val="22"/>
        </w:rPr>
        <w:t xml:space="preserve">Plan </w:t>
      </w:r>
      <w:r>
        <w:rPr>
          <w:rFonts w:ascii="Times New Roman" w:hAnsi="Times New Roman"/>
          <w:b w:val="false"/>
          <w:i w:val="false"/>
          <w:color w:val="000000"/>
          <w:sz w:val="22"/>
        </w:rPr>
        <w:t>does not include: hospital indemnity coverage or other fixed indemnity coverage; accident-only coverage; specified disease or specified accident coverage; limited benefit health coverage, as defined by state law; school accident-type coverage; benefits for nonmedical components of long-term care policies; Medicare supplement policies; Medicaid policies; or coverage under other federal governmental plans, unless permitted by law.</w:t>
      </w:r>
    </w:p>
    <w:p>
      <w:pPr>
        <w:spacing w:before="0" w:after="0"/>
        <w:ind w:left="120"/>
        <w:jc w:val="both"/>
      </w:pPr>
      <w:r>
        <w:rPr>
          <w:rFonts w:ascii="Times New Roman" w:hAnsi="Times New Roman"/>
          <w:b w:val="false"/>
          <w:i w:val="false"/>
          <w:color w:val="000000"/>
          <w:sz w:val="22"/>
        </w:rPr>
        <w:t xml:space="preserve">Each contract for coverage under (1) or (2) is a separate </w:t>
      </w:r>
      <w:r>
        <w:rPr>
          <w:rFonts w:ascii="Times New Roman" w:hAnsi="Times New Roman"/>
          <w:b/>
          <w:i w:val="false"/>
          <w:color w:val="000000"/>
          <w:sz w:val="22"/>
        </w:rPr>
        <w:t>Plan</w:t>
      </w:r>
      <w:r>
        <w:rPr>
          <w:rFonts w:ascii="Times New Roman" w:hAnsi="Times New Roman"/>
          <w:b w:val="false"/>
          <w:i w:val="false"/>
          <w:color w:val="000000"/>
          <w:sz w:val="22"/>
        </w:rPr>
        <w:t xml:space="preserve">. If a </w:t>
      </w:r>
      <w:r>
        <w:rPr>
          <w:rFonts w:ascii="Times New Roman" w:hAnsi="Times New Roman"/>
          <w:b/>
          <w:i w:val="false"/>
          <w:color w:val="000000"/>
          <w:sz w:val="22"/>
        </w:rPr>
        <w:t>Plan</w:t>
      </w:r>
      <w:r>
        <w:rPr>
          <w:rFonts w:ascii="Times New Roman" w:hAnsi="Times New Roman"/>
          <w:b w:val="false"/>
          <w:i w:val="false"/>
          <w:color w:val="000000"/>
          <w:sz w:val="22"/>
        </w:rPr>
        <w:t xml:space="preserve"> has two parts and COB rules apply only to one of the two, each of the parts is treated as a separate </w:t>
      </w:r>
      <w:r>
        <w:rPr>
          <w:rFonts w:ascii="Times New Roman" w:hAnsi="Times New Roman"/>
          <w:b/>
          <w:i w:val="false"/>
          <w:color w:val="000000"/>
          <w:sz w:val="22"/>
        </w:rPr>
        <w:t>Plan</w:t>
      </w:r>
      <w:r>
        <w:rPr>
          <w:rFonts w:ascii="Times New Roman" w:hAnsi="Times New Roman"/>
          <w:b w:val="false"/>
          <w:i w:val="false"/>
          <w:color w:val="000000"/>
          <w:sz w:val="22"/>
        </w:rPr>
        <w:t>.</w:t>
      </w:r>
    </w:p>
    <w:p>
      <w:pPr>
        <w:spacing w:before="0" w:after="0"/>
        <w:ind w:left="480"/>
        <w:jc w:val="both"/>
      </w:pPr>
      <w:r>
        <w:rPr>
          <w:rFonts w:ascii="Times New Roman" w:hAnsi="Times New Roman"/>
          <w:b w:val="false"/>
          <w:i w:val="false"/>
          <w:color w:val="000000"/>
          <w:sz w:val="22"/>
        </w:rPr>
        <w:t xml:space="preserve">B. </w:t>
      </w:r>
      <w:r>
        <w:rPr>
          <w:rFonts w:ascii="Times New Roman" w:hAnsi="Times New Roman"/>
          <w:b w:val="false"/>
          <w:i w:val="false"/>
          <w:color w:val="000000"/>
          <w:sz w:val="22"/>
        </w:rPr>
        <w:t> </w:t>
      </w:r>
    </w:p>
    <w:p>
      <w:pPr>
        <w:spacing w:before="0" w:after="0"/>
        <w:ind w:left="0"/>
        <w:jc w:val="both"/>
      </w:pPr>
      <w:r>
        <w:rPr>
          <w:rFonts w:ascii="Times New Roman" w:hAnsi="Times New Roman"/>
          <w:b/>
          <w:i w:val="false"/>
          <w:color w:val="000000"/>
          <w:sz w:val="22"/>
        </w:rPr>
        <w:t>This plan</w:t>
      </w:r>
      <w:r>
        <w:rPr>
          <w:rFonts w:ascii="Times New Roman" w:hAnsi="Times New Roman"/>
          <w:b w:val="false"/>
          <w:i w:val="false"/>
          <w:color w:val="000000"/>
          <w:sz w:val="22"/>
        </w:rPr>
        <w:t xml:space="preserve"> means, in a </w:t>
      </w:r>
      <w:r>
        <w:rPr>
          <w:rFonts w:ascii="Times New Roman" w:hAnsi="Times New Roman"/>
          <w:b/>
          <w:i w:val="false"/>
          <w:color w:val="000000"/>
          <w:sz w:val="22"/>
        </w:rPr>
        <w:t>COB</w:t>
      </w:r>
      <w:r>
        <w:rPr>
          <w:rFonts w:ascii="Times New Roman" w:hAnsi="Times New Roman"/>
          <w:b w:val="false"/>
          <w:i w:val="false"/>
          <w:color w:val="000000"/>
          <w:sz w:val="22"/>
        </w:rPr>
        <w:t xml:space="preserve"> provision, the part of the contract providing the health care benefits to which the </w:t>
      </w:r>
      <w:r>
        <w:rPr>
          <w:rFonts w:ascii="Times New Roman" w:hAnsi="Times New Roman"/>
          <w:b/>
          <w:i w:val="false"/>
          <w:color w:val="000000"/>
          <w:sz w:val="22"/>
        </w:rPr>
        <w:t>COB</w:t>
      </w:r>
      <w:r>
        <w:rPr>
          <w:rFonts w:ascii="Times New Roman" w:hAnsi="Times New Roman"/>
          <w:b w:val="false"/>
          <w:i w:val="false"/>
          <w:color w:val="000000"/>
          <w:sz w:val="22"/>
        </w:rPr>
        <w:t xml:space="preserve"> provision applies and which may be reduced because of the benefits of other plans. Any other part of the contract providing health care benefits is separate from this plan. A contract may apply one </w:t>
      </w:r>
      <w:r>
        <w:rPr>
          <w:rFonts w:ascii="Times New Roman" w:hAnsi="Times New Roman"/>
          <w:b/>
          <w:i w:val="false"/>
          <w:color w:val="000000"/>
          <w:sz w:val="22"/>
        </w:rPr>
        <w:t>COB</w:t>
      </w:r>
      <w:r>
        <w:rPr>
          <w:rFonts w:ascii="Times New Roman" w:hAnsi="Times New Roman"/>
          <w:b w:val="false"/>
          <w:i w:val="false"/>
          <w:color w:val="000000"/>
          <w:sz w:val="22"/>
        </w:rPr>
        <w:t xml:space="preserve"> provision to certain benefits, such as dental benefits, coordinating only with similar benefits, and may apply another </w:t>
      </w:r>
      <w:r>
        <w:rPr>
          <w:rFonts w:ascii="Times New Roman" w:hAnsi="Times New Roman"/>
          <w:b/>
          <w:i w:val="false"/>
          <w:color w:val="000000"/>
          <w:sz w:val="22"/>
        </w:rPr>
        <w:t>COB</w:t>
      </w:r>
      <w:r>
        <w:rPr>
          <w:rFonts w:ascii="Times New Roman" w:hAnsi="Times New Roman"/>
          <w:b w:val="false"/>
          <w:i w:val="false"/>
          <w:color w:val="000000"/>
          <w:sz w:val="22"/>
        </w:rPr>
        <w:t xml:space="preserve"> provision to coordinate other benefits.</w:t>
      </w:r>
    </w:p>
    <w:p>
      <w:pPr>
        <w:spacing w:before="0" w:after="0"/>
        <w:ind w:left="480"/>
        <w:jc w:val="both"/>
      </w:pPr>
      <w:r>
        <w:rPr>
          <w:rFonts w:ascii="Times New Roman" w:hAnsi="Times New Roman"/>
          <w:b w:val="false"/>
          <w:i w:val="false"/>
          <w:color w:val="000000"/>
          <w:sz w:val="22"/>
        </w:rPr>
        <w:t xml:space="preserve">C.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order of benefit determination rules determine whether </w:t>
      </w:r>
      <w:r>
        <w:rPr>
          <w:rFonts w:ascii="Times New Roman" w:hAnsi="Times New Roman"/>
          <w:b/>
          <w:i w:val="false"/>
          <w:color w:val="000000"/>
          <w:sz w:val="22"/>
        </w:rPr>
        <w:t>This plan</w:t>
      </w:r>
      <w:r>
        <w:rPr>
          <w:rFonts w:ascii="Times New Roman" w:hAnsi="Times New Roman"/>
          <w:b w:val="false"/>
          <w:i w:val="false"/>
          <w:color w:val="000000"/>
          <w:sz w:val="22"/>
        </w:rPr>
        <w:t xml:space="preserve"> is a </w:t>
      </w:r>
      <w:r>
        <w:rPr>
          <w:rFonts w:ascii="Times New Roman" w:hAnsi="Times New Roman"/>
          <w:b/>
          <w:i w:val="false"/>
          <w:color w:val="000000"/>
          <w:sz w:val="22"/>
        </w:rPr>
        <w:t>Primary plan</w:t>
      </w:r>
      <w:r>
        <w:rPr>
          <w:rFonts w:ascii="Times New Roman" w:hAnsi="Times New Roman"/>
          <w:b w:val="false"/>
          <w:i w:val="false"/>
          <w:color w:val="000000"/>
          <w:sz w:val="22"/>
        </w:rPr>
        <w:t xml:space="preserve"> or </w:t>
      </w:r>
      <w:r>
        <w:rPr>
          <w:rFonts w:ascii="Times New Roman" w:hAnsi="Times New Roman"/>
          <w:b/>
          <w:i w:val="false"/>
          <w:color w:val="000000"/>
          <w:sz w:val="22"/>
        </w:rPr>
        <w:t>Secondary plan</w:t>
      </w:r>
      <w:r>
        <w:rPr>
          <w:rFonts w:ascii="Times New Roman" w:hAnsi="Times New Roman"/>
          <w:b w:val="false"/>
          <w:i w:val="false"/>
          <w:color w:val="000000"/>
          <w:sz w:val="22"/>
        </w:rPr>
        <w:t xml:space="preserve"> when the person has health care coverage under more than one </w:t>
      </w:r>
      <w:r>
        <w:rPr>
          <w:rFonts w:ascii="Times New Roman" w:hAnsi="Times New Roman"/>
          <w:b/>
          <w:i w:val="false"/>
          <w:color w:val="000000"/>
          <w:sz w:val="22"/>
        </w:rPr>
        <w:t>Plan</w:t>
      </w:r>
      <w:r>
        <w:rPr>
          <w:rFonts w:ascii="Times New Roman" w:hAnsi="Times New Roman"/>
          <w:b w:val="false"/>
          <w:i w:val="false"/>
          <w:color w:val="000000"/>
          <w:sz w:val="22"/>
        </w:rPr>
        <w:t>.</w:t>
      </w:r>
    </w:p>
    <w:p>
      <w:pPr>
        <w:spacing w:before="0" w:after="0"/>
        <w:ind w:left="480"/>
        <w:jc w:val="both"/>
      </w:pPr>
      <w:r>
        <w:rPr>
          <w:rFonts w:ascii="Times New Roman" w:hAnsi="Times New Roman"/>
          <w:b w:val="false"/>
          <w:i w:val="false"/>
          <w:color w:val="000000"/>
          <w:sz w:val="22"/>
        </w:rPr>
        <w:t xml:space="preserve">When </w:t>
      </w:r>
      <w:r>
        <w:rPr>
          <w:rFonts w:ascii="Times New Roman" w:hAnsi="Times New Roman"/>
          <w:b/>
          <w:i w:val="false"/>
          <w:color w:val="000000"/>
          <w:sz w:val="22"/>
        </w:rPr>
        <w:t>This plan</w:t>
      </w:r>
      <w:r>
        <w:rPr>
          <w:rFonts w:ascii="Times New Roman" w:hAnsi="Times New Roman"/>
          <w:b w:val="false"/>
          <w:i w:val="false"/>
          <w:color w:val="000000"/>
          <w:sz w:val="22"/>
        </w:rPr>
        <w:t xml:space="preserve"> is primary, it determines payment for its benefits first before those of any other </w:t>
      </w:r>
      <w:r>
        <w:rPr>
          <w:rFonts w:ascii="Times New Roman" w:hAnsi="Times New Roman"/>
          <w:b/>
          <w:i w:val="false"/>
          <w:color w:val="000000"/>
          <w:sz w:val="22"/>
        </w:rPr>
        <w:t>Plan</w:t>
      </w:r>
      <w:r>
        <w:rPr>
          <w:rFonts w:ascii="Times New Roman" w:hAnsi="Times New Roman"/>
          <w:b w:val="false"/>
          <w:i w:val="false"/>
          <w:color w:val="000000"/>
          <w:sz w:val="22"/>
        </w:rPr>
        <w:t xml:space="preserve"> without considering any other </w:t>
      </w:r>
      <w:r>
        <w:rPr>
          <w:rFonts w:ascii="Times New Roman" w:hAnsi="Times New Roman"/>
          <w:b/>
          <w:i w:val="false"/>
          <w:color w:val="000000"/>
          <w:sz w:val="22"/>
        </w:rPr>
        <w:t>Plan’s</w:t>
      </w:r>
      <w:r>
        <w:rPr>
          <w:rFonts w:ascii="Times New Roman" w:hAnsi="Times New Roman"/>
          <w:b w:val="false"/>
          <w:i w:val="false"/>
          <w:color w:val="000000"/>
          <w:sz w:val="22"/>
        </w:rPr>
        <w:t xml:space="preserve"> benefits. When </w:t>
      </w:r>
      <w:r>
        <w:rPr>
          <w:rFonts w:ascii="Times New Roman" w:hAnsi="Times New Roman"/>
          <w:b/>
          <w:i w:val="false"/>
          <w:color w:val="000000"/>
          <w:sz w:val="22"/>
        </w:rPr>
        <w:t>This plan</w:t>
      </w:r>
      <w:r>
        <w:rPr>
          <w:rFonts w:ascii="Times New Roman" w:hAnsi="Times New Roman"/>
          <w:b w:val="false"/>
          <w:i w:val="false"/>
          <w:color w:val="000000"/>
          <w:sz w:val="22"/>
        </w:rPr>
        <w:t xml:space="preserve"> is secondary, it determines its benefits after those of another </w:t>
      </w:r>
      <w:r>
        <w:rPr>
          <w:rFonts w:ascii="Times New Roman" w:hAnsi="Times New Roman"/>
          <w:b/>
          <w:i w:val="false"/>
          <w:color w:val="000000"/>
          <w:sz w:val="22"/>
        </w:rPr>
        <w:t>Plan</w:t>
      </w:r>
      <w:r>
        <w:rPr>
          <w:rFonts w:ascii="Times New Roman" w:hAnsi="Times New Roman"/>
          <w:b w:val="false"/>
          <w:i w:val="false"/>
          <w:color w:val="000000"/>
          <w:sz w:val="22"/>
        </w:rPr>
        <w:t xml:space="preserve"> and may reduce the benefits it pays so that all </w:t>
      </w:r>
      <w:r>
        <w:rPr>
          <w:rFonts w:ascii="Times New Roman" w:hAnsi="Times New Roman"/>
          <w:b/>
          <w:i w:val="false"/>
          <w:color w:val="000000"/>
          <w:sz w:val="22"/>
        </w:rPr>
        <w:t>Plan</w:t>
      </w:r>
      <w:r>
        <w:rPr>
          <w:rFonts w:ascii="Times New Roman" w:hAnsi="Times New Roman"/>
          <w:b w:val="false"/>
          <w:i w:val="false"/>
          <w:color w:val="000000"/>
          <w:sz w:val="22"/>
        </w:rPr>
        <w:t xml:space="preserve"> benefits do not exceed 100% of the total </w:t>
      </w:r>
      <w:r>
        <w:rPr>
          <w:rFonts w:ascii="Times New Roman" w:hAnsi="Times New Roman"/>
          <w:b/>
          <w:i w:val="false"/>
          <w:color w:val="000000"/>
          <w:sz w:val="22"/>
        </w:rPr>
        <w:t>Allowable expense</w:t>
      </w:r>
      <w:r>
        <w:rPr>
          <w:rFonts w:ascii="Times New Roman" w:hAnsi="Times New Roman"/>
          <w:b w:val="false"/>
          <w:i w:val="false"/>
          <w:color w:val="000000"/>
          <w:sz w:val="22"/>
        </w:rPr>
        <w:t>.</w:t>
      </w:r>
    </w:p>
    <w:p>
      <w:pPr>
        <w:spacing w:before="0" w:after="0"/>
        <w:ind w:left="480"/>
        <w:jc w:val="both"/>
      </w:pPr>
      <w:r>
        <w:rPr>
          <w:rFonts w:ascii="Times New Roman" w:hAnsi="Times New Roman"/>
          <w:b w:val="false"/>
          <w:i w:val="false"/>
          <w:color w:val="000000"/>
          <w:sz w:val="22"/>
        </w:rPr>
        <w:t xml:space="preserve">D. </w:t>
      </w:r>
      <w:r>
        <w:rPr>
          <w:rFonts w:ascii="Times New Roman" w:hAnsi="Times New Roman"/>
          <w:b w:val="false"/>
          <w:i w:val="false"/>
          <w:color w:val="000000"/>
          <w:sz w:val="22"/>
        </w:rPr>
        <w:t> </w:t>
      </w:r>
    </w:p>
    <w:p>
      <w:pPr>
        <w:spacing w:before="0" w:after="0"/>
        <w:ind w:left="0"/>
        <w:jc w:val="both"/>
      </w:pPr>
      <w:r>
        <w:rPr>
          <w:rFonts w:ascii="Times New Roman" w:hAnsi="Times New Roman"/>
          <w:b/>
          <w:i w:val="false"/>
          <w:color w:val="000000"/>
          <w:sz w:val="22"/>
        </w:rPr>
        <w:t>Allowable expense</w:t>
      </w:r>
      <w:r>
        <w:rPr>
          <w:rFonts w:ascii="Times New Roman" w:hAnsi="Times New Roman"/>
          <w:b w:val="false"/>
          <w:i w:val="false"/>
          <w:color w:val="000000"/>
          <w:sz w:val="22"/>
        </w:rPr>
        <w:t xml:space="preserve"> is a health care expense, including deductibles, coinsurance and copayments, that is covered at least in part by any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person. When a </w:t>
      </w:r>
      <w:r>
        <w:rPr>
          <w:rFonts w:ascii="Times New Roman" w:hAnsi="Times New Roman"/>
          <w:b/>
          <w:i w:val="false"/>
          <w:color w:val="000000"/>
          <w:sz w:val="22"/>
        </w:rPr>
        <w:t>Plan</w:t>
      </w:r>
      <w:r>
        <w:rPr>
          <w:rFonts w:ascii="Times New Roman" w:hAnsi="Times New Roman"/>
          <w:b w:val="false"/>
          <w:i w:val="false"/>
          <w:color w:val="000000"/>
          <w:sz w:val="22"/>
        </w:rPr>
        <w:t xml:space="preserve"> provides benefits in the form of services, the reasonable cash value of each service will be considered an </w:t>
      </w:r>
      <w:r>
        <w:rPr>
          <w:rFonts w:ascii="Times New Roman" w:hAnsi="Times New Roman"/>
          <w:b/>
          <w:i w:val="false"/>
          <w:color w:val="000000"/>
          <w:sz w:val="22"/>
        </w:rPr>
        <w:t>Allowable expense</w:t>
      </w:r>
      <w:r>
        <w:rPr>
          <w:rFonts w:ascii="Times New Roman" w:hAnsi="Times New Roman"/>
          <w:b w:val="false"/>
          <w:i w:val="false"/>
          <w:color w:val="000000"/>
          <w:sz w:val="22"/>
        </w:rPr>
        <w:t xml:space="preserve"> and a benefit paid. An expense that is not covered by any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person is not an </w:t>
      </w:r>
      <w:r>
        <w:rPr>
          <w:rFonts w:ascii="Times New Roman" w:hAnsi="Times New Roman"/>
          <w:b/>
          <w:i w:val="false"/>
          <w:color w:val="000000"/>
          <w:sz w:val="22"/>
        </w:rPr>
        <w:t>Allowable expense</w:t>
      </w:r>
      <w:r>
        <w:rPr>
          <w:rFonts w:ascii="Times New Roman" w:hAnsi="Times New Roman"/>
          <w:b w:val="false"/>
          <w:i w:val="false"/>
          <w:color w:val="000000"/>
          <w:sz w:val="22"/>
        </w:rPr>
        <w:t xml:space="preserve">. In addition, any expense that a provider by law or in accordance with a contractual agreement is prohibited from charging a covered person is not an </w:t>
      </w:r>
      <w:r>
        <w:rPr>
          <w:rFonts w:ascii="Times New Roman" w:hAnsi="Times New Roman"/>
          <w:b/>
          <w:i w:val="false"/>
          <w:color w:val="000000"/>
          <w:sz w:val="22"/>
        </w:rPr>
        <w:t>Allowable expense</w:t>
      </w:r>
      <w:r>
        <w:rPr>
          <w:rFonts w:ascii="Times New Roman" w:hAnsi="Times New Roman"/>
          <w:b w:val="false"/>
          <w:i w:val="false"/>
          <w:color w:val="000000"/>
          <w:sz w:val="22"/>
        </w:rPr>
        <w:t>.</w:t>
      </w:r>
    </w:p>
    <w:p>
      <w:pPr>
        <w:spacing w:before="0" w:after="0"/>
        <w:ind w:left="480"/>
        <w:jc w:val="both"/>
      </w:pPr>
      <w:r>
        <w:rPr>
          <w:rFonts w:ascii="Times New Roman" w:hAnsi="Times New Roman"/>
          <w:b w:val="false"/>
          <w:i w:val="false"/>
          <w:color w:val="000000"/>
          <w:sz w:val="22"/>
        </w:rPr>
        <w:t xml:space="preserve">The following are examples of expenses that are not </w:t>
      </w:r>
      <w:r>
        <w:rPr>
          <w:rFonts w:ascii="Times New Roman" w:hAnsi="Times New Roman"/>
          <w:b/>
          <w:i w:val="false"/>
          <w:color w:val="000000"/>
          <w:sz w:val="22"/>
        </w:rPr>
        <w:t>Allowable expenses</w:t>
      </w:r>
      <w:r>
        <w:rPr>
          <w:rFonts w:ascii="Times New Roman" w:hAnsi="Times New Roman"/>
          <w:b w:val="false"/>
          <w:i w:val="false"/>
          <w:color w:val="000000"/>
          <w:sz w:val="22"/>
        </w:rPr>
        <w:t>:</w:t>
      </w:r>
    </w:p>
    <w:p>
      <w:pPr>
        <w:spacing w:before="0" w:after="0"/>
        <w:ind w:left="930"/>
        <w:jc w:val="both"/>
      </w:pPr>
      <w:r>
        <w:rPr>
          <w:rFonts w:ascii="Times New Roman" w:hAnsi="Times New Roman"/>
          <w:b w:val="false"/>
          <w:i w:val="false"/>
          <w:color w:val="000000"/>
          <w:sz w:val="22"/>
        </w:rPr>
        <w:t xml:space="preserve">(1)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difference between the cost of a semiprivate hospital room and a private hospital room is not an </w:t>
      </w:r>
      <w:r>
        <w:rPr>
          <w:rFonts w:ascii="Times New Roman" w:hAnsi="Times New Roman"/>
          <w:b/>
          <w:i w:val="false"/>
          <w:color w:val="000000"/>
          <w:sz w:val="22"/>
        </w:rPr>
        <w:t>Allowable expense</w:t>
      </w:r>
      <w:r>
        <w:rPr>
          <w:rFonts w:ascii="Times New Roman" w:hAnsi="Times New Roman"/>
          <w:b w:val="false"/>
          <w:i w:val="false"/>
          <w:color w:val="000000"/>
          <w:sz w:val="22"/>
        </w:rPr>
        <w:t xml:space="preserve">, unless one of the </w:t>
      </w:r>
      <w:r>
        <w:rPr>
          <w:rFonts w:ascii="Times New Roman" w:hAnsi="Times New Roman"/>
          <w:b/>
          <w:i w:val="false"/>
          <w:color w:val="000000"/>
          <w:sz w:val="22"/>
        </w:rPr>
        <w:t>Plans</w:t>
      </w:r>
      <w:r>
        <w:rPr>
          <w:rFonts w:ascii="Times New Roman" w:hAnsi="Times New Roman"/>
          <w:b w:val="false"/>
          <w:i w:val="false"/>
          <w:color w:val="000000"/>
          <w:sz w:val="22"/>
        </w:rPr>
        <w:t xml:space="preserve"> provides coverage for private hospital room expenses.</w:t>
      </w:r>
    </w:p>
    <w:p>
      <w:pPr>
        <w:spacing w:before="0" w:after="0"/>
        <w:ind w:left="930"/>
        <w:jc w:val="both"/>
      </w:pPr>
      <w:r>
        <w:rPr>
          <w:rFonts w:ascii="Times New Roman" w:hAnsi="Times New Roman"/>
          <w:b w:val="false"/>
          <w:i w:val="false"/>
          <w:color w:val="000000"/>
          <w:sz w:val="22"/>
        </w:rPr>
        <w:t xml:space="preserve">(2)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a person is covered by 2 or more </w:t>
      </w:r>
      <w:r>
        <w:rPr>
          <w:rFonts w:ascii="Times New Roman" w:hAnsi="Times New Roman"/>
          <w:b/>
          <w:i w:val="false"/>
          <w:color w:val="000000"/>
          <w:sz w:val="22"/>
        </w:rPr>
        <w:t>Plans</w:t>
      </w:r>
      <w:r>
        <w:rPr>
          <w:rFonts w:ascii="Times New Roman" w:hAnsi="Times New Roman"/>
          <w:b w:val="false"/>
          <w:i w:val="false"/>
          <w:color w:val="000000"/>
          <w:sz w:val="22"/>
        </w:rPr>
        <w:t xml:space="preserve"> that compute their benefit payments on the basis of usual and customary fees or relative value schedule reimbursement methodology or other similar reimbursement methodology, any amount in excess of the highest reimbursement amount for a specific benefit is not an </w:t>
      </w:r>
      <w:r>
        <w:rPr>
          <w:rFonts w:ascii="Times New Roman" w:hAnsi="Times New Roman"/>
          <w:b/>
          <w:i w:val="false"/>
          <w:color w:val="000000"/>
          <w:sz w:val="22"/>
        </w:rPr>
        <w:t>Allowable expense</w:t>
      </w:r>
      <w:r>
        <w:rPr>
          <w:rFonts w:ascii="Times New Roman" w:hAnsi="Times New Roman"/>
          <w:b w:val="false"/>
          <w:i w:val="false"/>
          <w:color w:val="000000"/>
          <w:sz w:val="22"/>
        </w:rPr>
        <w:t>.</w:t>
      </w:r>
    </w:p>
    <w:p>
      <w:pPr>
        <w:spacing w:before="0" w:after="0"/>
        <w:ind w:left="930"/>
        <w:jc w:val="both"/>
      </w:pPr>
      <w:r>
        <w:rPr>
          <w:rFonts w:ascii="Times New Roman" w:hAnsi="Times New Roman"/>
          <w:b w:val="false"/>
          <w:i w:val="false"/>
          <w:color w:val="000000"/>
          <w:sz w:val="22"/>
        </w:rPr>
        <w:t xml:space="preserve">(3)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a person is covered by 2 or more </w:t>
      </w:r>
      <w:r>
        <w:rPr>
          <w:rFonts w:ascii="Times New Roman" w:hAnsi="Times New Roman"/>
          <w:b/>
          <w:i w:val="false"/>
          <w:color w:val="000000"/>
          <w:sz w:val="22"/>
        </w:rPr>
        <w:t>Plans</w:t>
      </w:r>
      <w:r>
        <w:rPr>
          <w:rFonts w:ascii="Times New Roman" w:hAnsi="Times New Roman"/>
          <w:b w:val="false"/>
          <w:i w:val="false"/>
          <w:color w:val="000000"/>
          <w:sz w:val="22"/>
        </w:rPr>
        <w:t xml:space="preserve"> that provide benefits or services on the basis of negotiated fees, an amount in excess of the highest of the negotiated fees is not an </w:t>
      </w:r>
      <w:r>
        <w:rPr>
          <w:rFonts w:ascii="Times New Roman" w:hAnsi="Times New Roman"/>
          <w:b/>
          <w:i w:val="false"/>
          <w:color w:val="000000"/>
          <w:sz w:val="22"/>
        </w:rPr>
        <w:t>Allowable expense</w:t>
      </w:r>
      <w:r>
        <w:rPr>
          <w:rFonts w:ascii="Times New Roman" w:hAnsi="Times New Roman"/>
          <w:b w:val="false"/>
          <w:i w:val="false"/>
          <w:color w:val="000000"/>
          <w:sz w:val="22"/>
        </w:rPr>
        <w:t>.</w:t>
      </w:r>
    </w:p>
    <w:p>
      <w:pPr>
        <w:spacing w:before="0" w:after="0"/>
        <w:ind w:left="930"/>
        <w:jc w:val="both"/>
      </w:pPr>
      <w:r>
        <w:rPr>
          <w:rFonts w:ascii="Times New Roman" w:hAnsi="Times New Roman"/>
          <w:b w:val="false"/>
          <w:i w:val="false"/>
          <w:color w:val="000000"/>
          <w:sz w:val="22"/>
        </w:rPr>
        <w:t xml:space="preserve">(4)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a person is covered by one </w:t>
      </w:r>
      <w:r>
        <w:rPr>
          <w:rFonts w:ascii="Times New Roman" w:hAnsi="Times New Roman"/>
          <w:b/>
          <w:i w:val="false"/>
          <w:color w:val="000000"/>
          <w:sz w:val="22"/>
        </w:rPr>
        <w:t>Plan</w:t>
      </w:r>
      <w:r>
        <w:rPr>
          <w:rFonts w:ascii="Times New Roman" w:hAnsi="Times New Roman"/>
          <w:b w:val="false"/>
          <w:i w:val="false"/>
          <w:color w:val="000000"/>
          <w:sz w:val="22"/>
        </w:rPr>
        <w:t xml:space="preserve"> that calculates its benefits or services on the basis of usual and customary fees or relative value schedule reimbursement methodology or other similar reimbursement methodology and by another </w:t>
      </w:r>
      <w:r>
        <w:rPr>
          <w:rFonts w:ascii="Times New Roman" w:hAnsi="Times New Roman"/>
          <w:b/>
          <w:i w:val="false"/>
          <w:color w:val="000000"/>
          <w:sz w:val="22"/>
        </w:rPr>
        <w:t>Plan</w:t>
      </w:r>
      <w:r>
        <w:rPr>
          <w:rFonts w:ascii="Times New Roman" w:hAnsi="Times New Roman"/>
          <w:b w:val="false"/>
          <w:i w:val="false"/>
          <w:color w:val="000000"/>
          <w:sz w:val="22"/>
        </w:rPr>
        <w:t xml:space="preserve"> that provides its benefits or services on the basis of negotiated fees, the </w:t>
      </w:r>
      <w:r>
        <w:rPr>
          <w:rFonts w:ascii="Times New Roman" w:hAnsi="Times New Roman"/>
          <w:b/>
          <w:i w:val="false"/>
          <w:color w:val="000000"/>
          <w:sz w:val="22"/>
        </w:rPr>
        <w:t>Primary plan’s</w:t>
      </w:r>
      <w:r>
        <w:rPr>
          <w:rFonts w:ascii="Times New Roman" w:hAnsi="Times New Roman"/>
          <w:b w:val="false"/>
          <w:i w:val="false"/>
          <w:color w:val="000000"/>
          <w:sz w:val="22"/>
        </w:rPr>
        <w:t xml:space="preserve"> payment arrangement shall be the </w:t>
      </w:r>
      <w:r>
        <w:rPr>
          <w:rFonts w:ascii="Times New Roman" w:hAnsi="Times New Roman"/>
          <w:b/>
          <w:i w:val="false"/>
          <w:color w:val="000000"/>
          <w:sz w:val="22"/>
        </w:rPr>
        <w:t>Allowable expense</w:t>
      </w:r>
      <w:r>
        <w:rPr>
          <w:rFonts w:ascii="Times New Roman" w:hAnsi="Times New Roman"/>
          <w:b w:val="false"/>
          <w:i w:val="false"/>
          <w:color w:val="000000"/>
          <w:sz w:val="22"/>
        </w:rPr>
        <w:t xml:space="preserve"> for all </w:t>
      </w:r>
      <w:r>
        <w:rPr>
          <w:rFonts w:ascii="Times New Roman" w:hAnsi="Times New Roman"/>
          <w:b/>
          <w:i w:val="false"/>
          <w:color w:val="000000"/>
          <w:sz w:val="22"/>
        </w:rPr>
        <w:t>Plans</w:t>
      </w:r>
      <w:r>
        <w:rPr>
          <w:rFonts w:ascii="Times New Roman" w:hAnsi="Times New Roman"/>
          <w:b w:val="false"/>
          <w:i w:val="false"/>
          <w:color w:val="000000"/>
          <w:sz w:val="22"/>
        </w:rPr>
        <w:t xml:space="preserve">. However, if the provider has contracted with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to provide the benefit or service for a specific negotiated fee or payment amount that is different than the </w:t>
      </w:r>
      <w:r>
        <w:rPr>
          <w:rFonts w:ascii="Times New Roman" w:hAnsi="Times New Roman"/>
          <w:b/>
          <w:i w:val="false"/>
          <w:color w:val="000000"/>
          <w:sz w:val="22"/>
        </w:rPr>
        <w:t>Primary plan’s</w:t>
      </w:r>
      <w:r>
        <w:rPr>
          <w:rFonts w:ascii="Times New Roman" w:hAnsi="Times New Roman"/>
          <w:b w:val="false"/>
          <w:i w:val="false"/>
          <w:color w:val="000000"/>
          <w:sz w:val="22"/>
        </w:rPr>
        <w:t xml:space="preserve"> payment arrangement and if the provider’s contract permits, the negotiated fee or payment shall be the </w:t>
      </w:r>
      <w:r>
        <w:rPr>
          <w:rFonts w:ascii="Times New Roman" w:hAnsi="Times New Roman"/>
          <w:b/>
          <w:i w:val="false"/>
          <w:color w:val="000000"/>
          <w:sz w:val="22"/>
        </w:rPr>
        <w:t>Allowable expense</w:t>
      </w:r>
      <w:r>
        <w:rPr>
          <w:rFonts w:ascii="Times New Roman" w:hAnsi="Times New Roman"/>
          <w:b w:val="false"/>
          <w:i w:val="false"/>
          <w:color w:val="000000"/>
          <w:sz w:val="22"/>
        </w:rPr>
        <w:t xml:space="preserve"> used by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to determine its benefits.</w:t>
      </w:r>
    </w:p>
    <w:p>
      <w:pPr>
        <w:spacing w:before="0" w:after="0"/>
        <w:ind w:left="930"/>
        <w:jc w:val="both"/>
      </w:pPr>
      <w:r>
        <w:rPr>
          <w:rFonts w:ascii="Times New Roman" w:hAnsi="Times New Roman"/>
          <w:b w:val="false"/>
          <w:i w:val="false"/>
          <w:color w:val="000000"/>
          <w:sz w:val="22"/>
        </w:rPr>
        <w:t xml:space="preserve">(5)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amount of any benefit reduction by the </w:t>
      </w:r>
      <w:r>
        <w:rPr>
          <w:rFonts w:ascii="Times New Roman" w:hAnsi="Times New Roman"/>
          <w:b/>
          <w:i w:val="false"/>
          <w:color w:val="000000"/>
          <w:sz w:val="22"/>
        </w:rPr>
        <w:t>Primary plan</w:t>
      </w:r>
      <w:r>
        <w:rPr>
          <w:rFonts w:ascii="Times New Roman" w:hAnsi="Times New Roman"/>
          <w:b w:val="false"/>
          <w:i w:val="false"/>
          <w:color w:val="000000"/>
          <w:sz w:val="22"/>
        </w:rPr>
        <w:t xml:space="preserve"> because a covered person has failed to comply with the </w:t>
      </w:r>
      <w:r>
        <w:rPr>
          <w:rFonts w:ascii="Times New Roman" w:hAnsi="Times New Roman"/>
          <w:b/>
          <w:i w:val="false"/>
          <w:color w:val="000000"/>
          <w:sz w:val="22"/>
        </w:rPr>
        <w:t>Plan</w:t>
      </w:r>
      <w:r>
        <w:rPr>
          <w:rFonts w:ascii="Times New Roman" w:hAnsi="Times New Roman"/>
          <w:b w:val="false"/>
          <w:i w:val="false"/>
          <w:color w:val="000000"/>
          <w:sz w:val="22"/>
        </w:rPr>
        <w:t xml:space="preserve"> provisions is not an </w:t>
      </w:r>
      <w:r>
        <w:rPr>
          <w:rFonts w:ascii="Times New Roman" w:hAnsi="Times New Roman"/>
          <w:b/>
          <w:i w:val="false"/>
          <w:color w:val="000000"/>
          <w:sz w:val="22"/>
        </w:rPr>
        <w:t>Allowable expense</w:t>
      </w:r>
      <w:r>
        <w:rPr>
          <w:rFonts w:ascii="Times New Roman" w:hAnsi="Times New Roman"/>
          <w:b w:val="false"/>
          <w:i w:val="false"/>
          <w:color w:val="000000"/>
          <w:sz w:val="22"/>
        </w:rPr>
        <w:t>. Examples of these types of plan provisions include second surgical opinions, precertification of admissions, and preferred provider arrangements.</w:t>
      </w:r>
    </w:p>
    <w:p>
      <w:pPr>
        <w:spacing w:before="0" w:after="0"/>
        <w:ind w:left="480"/>
        <w:jc w:val="both"/>
      </w:pPr>
      <w:r>
        <w:rPr>
          <w:rFonts w:ascii="Times New Roman" w:hAnsi="Times New Roman"/>
          <w:b w:val="false"/>
          <w:i w:val="false"/>
          <w:color w:val="000000"/>
          <w:sz w:val="22"/>
        </w:rPr>
        <w:t xml:space="preserve">E. </w:t>
      </w:r>
      <w:r>
        <w:rPr>
          <w:rFonts w:ascii="Times New Roman" w:hAnsi="Times New Roman"/>
          <w:b w:val="false"/>
          <w:i w:val="false"/>
          <w:color w:val="000000"/>
          <w:sz w:val="22"/>
        </w:rPr>
        <w:t> </w:t>
      </w:r>
    </w:p>
    <w:p>
      <w:pPr>
        <w:spacing w:before="0" w:after="0"/>
        <w:ind w:left="0"/>
        <w:jc w:val="both"/>
      </w:pPr>
      <w:r>
        <w:rPr>
          <w:rFonts w:ascii="Times New Roman" w:hAnsi="Times New Roman"/>
          <w:b/>
          <w:i w:val="false"/>
          <w:color w:val="000000"/>
          <w:sz w:val="22"/>
        </w:rPr>
        <w:t>Closed panel plan</w:t>
      </w:r>
      <w:r>
        <w:rPr>
          <w:rFonts w:ascii="Times New Roman" w:hAnsi="Times New Roman"/>
          <w:b w:val="false"/>
          <w:i w:val="false"/>
          <w:color w:val="000000"/>
          <w:sz w:val="22"/>
        </w:rPr>
        <w:t xml:space="preserve"> is a </w:t>
      </w:r>
      <w:r>
        <w:rPr>
          <w:rFonts w:ascii="Times New Roman" w:hAnsi="Times New Roman"/>
          <w:b/>
          <w:i w:val="false"/>
          <w:color w:val="000000"/>
          <w:sz w:val="22"/>
        </w:rPr>
        <w:t>Plan</w:t>
      </w:r>
      <w:r>
        <w:rPr>
          <w:rFonts w:ascii="Times New Roman" w:hAnsi="Times New Roman"/>
          <w:b w:val="false"/>
          <w:i w:val="false"/>
          <w:color w:val="000000"/>
          <w:sz w:val="22"/>
        </w:rPr>
        <w:t xml:space="preserve"> that provides health care benefits to covered persons primarily in the form of services through a panel of providers that have contracted with or are employed by the </w:t>
      </w:r>
      <w:r>
        <w:rPr>
          <w:rFonts w:ascii="Times New Roman" w:hAnsi="Times New Roman"/>
          <w:b/>
          <w:i w:val="false"/>
          <w:color w:val="000000"/>
          <w:sz w:val="22"/>
        </w:rPr>
        <w:t>Plan</w:t>
      </w:r>
      <w:r>
        <w:rPr>
          <w:rFonts w:ascii="Times New Roman" w:hAnsi="Times New Roman"/>
          <w:b w:val="false"/>
          <w:i w:val="false"/>
          <w:color w:val="000000"/>
          <w:sz w:val="22"/>
        </w:rPr>
        <w:t>, and that excludes coverage for services provided by other providers, except in cases of emergency or referral by a panel member.</w:t>
      </w:r>
    </w:p>
    <w:p>
      <w:pPr>
        <w:spacing w:before="0" w:after="0"/>
        <w:ind w:left="480"/>
        <w:jc w:val="both"/>
      </w:pPr>
      <w:r>
        <w:rPr>
          <w:rFonts w:ascii="Times New Roman" w:hAnsi="Times New Roman"/>
          <w:b w:val="false"/>
          <w:i w:val="false"/>
          <w:color w:val="000000"/>
          <w:sz w:val="22"/>
        </w:rPr>
        <w:t xml:space="preserve">F. </w:t>
      </w:r>
      <w:r>
        <w:rPr>
          <w:rFonts w:ascii="Times New Roman" w:hAnsi="Times New Roman"/>
          <w:b w:val="false"/>
          <w:i w:val="false"/>
          <w:color w:val="000000"/>
          <w:sz w:val="22"/>
        </w:rPr>
        <w:t> </w:t>
      </w:r>
    </w:p>
    <w:p>
      <w:pPr>
        <w:spacing w:before="0" w:after="0"/>
        <w:ind w:left="0"/>
        <w:jc w:val="both"/>
      </w:pPr>
      <w:r>
        <w:rPr>
          <w:rFonts w:ascii="Times New Roman" w:hAnsi="Times New Roman"/>
          <w:b/>
          <w:i w:val="false"/>
          <w:color w:val="000000"/>
          <w:sz w:val="22"/>
        </w:rPr>
        <w:t>Custodial parent</w:t>
      </w:r>
      <w:r>
        <w:rPr>
          <w:rFonts w:ascii="Times New Roman" w:hAnsi="Times New Roman"/>
          <w:b w:val="false"/>
          <w:i w:val="false"/>
          <w:color w:val="000000"/>
          <w:sz w:val="22"/>
        </w:rPr>
        <w:t xml:space="preserve"> is the parent awarded custody by a court decree or, in the absence of a court decree, is the parent with whom the child resides more than one-half of the calendar year excluding any temporary visitation.</w:t>
      </w:r>
    </w:p>
    <w:p>
      <w:pPr>
        <w:spacing w:before="0" w:after="0"/>
        <w:ind w:left="120"/>
        <w:jc w:val="both"/>
      </w:pPr>
      <w:r>
        <w:rPr>
          <w:rFonts w:ascii="Times New Roman" w:hAnsi="Times New Roman"/>
          <w:b/>
          <w:i w:val="false"/>
          <w:color w:val="000000"/>
          <w:sz w:val="22"/>
        </w:rPr>
        <w:t>ORDER OF BENEFIT DETERMINATION RULES</w:t>
      </w:r>
    </w:p>
    <w:p>
      <w:pPr>
        <w:spacing w:before="0" w:after="0"/>
        <w:ind w:left="120"/>
        <w:jc w:val="both"/>
      </w:pPr>
      <w:r>
        <w:rPr>
          <w:rFonts w:ascii="Times New Roman" w:hAnsi="Times New Roman"/>
          <w:b w:val="false"/>
          <w:i w:val="false"/>
          <w:color w:val="000000"/>
          <w:sz w:val="22"/>
        </w:rPr>
        <w:t xml:space="preserve">When a person is covered by two or more </w:t>
      </w:r>
      <w:r>
        <w:rPr>
          <w:rFonts w:ascii="Times New Roman" w:hAnsi="Times New Roman"/>
          <w:b/>
          <w:i w:val="false"/>
          <w:color w:val="000000"/>
          <w:sz w:val="22"/>
        </w:rPr>
        <w:t>Plans</w:t>
      </w:r>
      <w:r>
        <w:rPr>
          <w:rFonts w:ascii="Times New Roman" w:hAnsi="Times New Roman"/>
          <w:b w:val="false"/>
          <w:i w:val="false"/>
          <w:color w:val="000000"/>
          <w:sz w:val="22"/>
        </w:rPr>
        <w:t>, the rules for determining the order of benefit payments are as follows:</w:t>
      </w:r>
    </w:p>
    <w:p>
      <w:pPr>
        <w:spacing w:before="0" w:after="0"/>
        <w:ind w:left="480"/>
        <w:jc w:val="both"/>
      </w:pPr>
      <w:r>
        <w:rPr>
          <w:rFonts w:ascii="Times New Roman" w:hAnsi="Times New Roman"/>
          <w:b w:val="false"/>
          <w:i w:val="false"/>
          <w:color w:val="000000"/>
          <w:sz w:val="22"/>
        </w:rPr>
        <w:t xml:space="preserve">A.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w:t>
      </w:r>
      <w:r>
        <w:rPr>
          <w:rFonts w:ascii="Times New Roman" w:hAnsi="Times New Roman"/>
          <w:b/>
          <w:i w:val="false"/>
          <w:color w:val="000000"/>
          <w:sz w:val="22"/>
        </w:rPr>
        <w:t>Primary plan</w:t>
      </w:r>
      <w:r>
        <w:rPr>
          <w:rFonts w:ascii="Times New Roman" w:hAnsi="Times New Roman"/>
          <w:b w:val="false"/>
          <w:i w:val="false"/>
          <w:color w:val="000000"/>
          <w:sz w:val="22"/>
        </w:rPr>
        <w:t xml:space="preserve"> pays or provides its benefits according to its terms of coverage and without regard to the benefits of any other </w:t>
      </w:r>
      <w:r>
        <w:rPr>
          <w:rFonts w:ascii="Times New Roman" w:hAnsi="Times New Roman"/>
          <w:b/>
          <w:i w:val="false"/>
          <w:color w:val="000000"/>
          <w:sz w:val="22"/>
        </w:rPr>
        <w:t>Plan</w:t>
      </w:r>
      <w:r>
        <w:rPr>
          <w:rFonts w:ascii="Times New Roman" w:hAnsi="Times New Roman"/>
          <w:b w:val="false"/>
          <w:i w:val="false"/>
          <w:color w:val="000000"/>
          <w:sz w:val="22"/>
        </w:rPr>
        <w:t>.</w:t>
      </w:r>
    </w:p>
    <w:p>
      <w:pPr>
        <w:spacing w:before="0" w:after="0"/>
        <w:ind w:left="466"/>
        <w:jc w:val="both"/>
      </w:pPr>
      <w:r>
        <w:rPr>
          <w:rFonts w:ascii="Times New Roman" w:hAnsi="Times New Roman"/>
          <w:b w:val="false"/>
          <w:i w:val="false"/>
          <w:color w:val="000000"/>
          <w:sz w:val="22"/>
        </w:rPr>
        <w:t xml:space="preserve">B. </w:t>
      </w:r>
      <w:r>
        <w:rPr>
          <w:rFonts w:ascii="Times New Roman" w:hAnsi="Times New Roman"/>
          <w:b w:val="false"/>
          <w:i w:val="false"/>
          <w:color w:val="000000"/>
          <w:sz w:val="22"/>
        </w:rPr>
        <w:t> </w:t>
      </w:r>
    </w:p>
    <w:p>
      <w:pPr>
        <w:spacing w:before="0" w:after="0"/>
        <w:ind w:left="466"/>
        <w:jc w:val="both"/>
      </w:pPr>
      <w:r>
        <w:rPr>
          <w:rFonts w:ascii="Times New Roman" w:hAnsi="Times New Roman"/>
          <w:b w:val="false"/>
          <w:i w:val="false"/>
          <w:color w:val="000000"/>
          <w:sz w:val="22"/>
        </w:rPr>
        <w:t xml:space="preserve">(1)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Except as provided in Paragraph (2), a </w:t>
      </w:r>
      <w:r>
        <w:rPr>
          <w:rFonts w:ascii="Times New Roman" w:hAnsi="Times New Roman"/>
          <w:b/>
          <w:i w:val="false"/>
          <w:color w:val="000000"/>
          <w:sz w:val="22"/>
        </w:rPr>
        <w:t>Plan</w:t>
      </w:r>
      <w:r>
        <w:rPr>
          <w:rFonts w:ascii="Times New Roman" w:hAnsi="Times New Roman"/>
          <w:b w:val="false"/>
          <w:i w:val="false"/>
          <w:color w:val="000000"/>
          <w:sz w:val="22"/>
        </w:rPr>
        <w:t xml:space="preserve"> that does not contain a coordination of benefits</w:t>
      </w:r>
    </w:p>
    <w:p>
      <w:pPr>
        <w:spacing w:before="0" w:after="0"/>
        <w:ind w:left="941"/>
        <w:jc w:val="both"/>
      </w:pPr>
      <w:r>
        <w:rPr>
          <w:rFonts w:ascii="Times New Roman" w:hAnsi="Times New Roman"/>
          <w:b w:val="false"/>
          <w:i w:val="false"/>
          <w:color w:val="000000"/>
          <w:sz w:val="22"/>
        </w:rPr>
        <w:t xml:space="preserve">provision that is consistent with this regulation is always primary unless the provisions of both </w:t>
      </w:r>
      <w:r>
        <w:rPr>
          <w:rFonts w:ascii="Times New Roman" w:hAnsi="Times New Roman"/>
          <w:b/>
          <w:i w:val="false"/>
          <w:color w:val="000000"/>
          <w:sz w:val="22"/>
        </w:rPr>
        <w:t>Plans</w:t>
      </w:r>
      <w:r>
        <w:rPr>
          <w:rFonts w:ascii="Times New Roman" w:hAnsi="Times New Roman"/>
          <w:b w:val="false"/>
          <w:i w:val="false"/>
          <w:color w:val="000000"/>
          <w:sz w:val="22"/>
        </w:rPr>
        <w:t xml:space="preserve"> state that the complying plan is primary.</w:t>
      </w:r>
    </w:p>
    <w:p>
      <w:pPr>
        <w:spacing w:before="0" w:after="0"/>
        <w:ind w:left="930"/>
        <w:jc w:val="both"/>
      </w:pPr>
      <w:r>
        <w:rPr>
          <w:rFonts w:ascii="Times New Roman" w:hAnsi="Times New Roman"/>
          <w:b w:val="false"/>
          <w:i w:val="false"/>
          <w:color w:val="000000"/>
          <w:sz w:val="22"/>
        </w:rPr>
        <w:t xml:space="preserve">(2)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Coverage that is obtained by virtue of membership in a group that is designed to supplement a part of a basic package of benefits and provides that this supplementary coverage shall be excess to any other parts of the </w:t>
      </w:r>
      <w:r>
        <w:rPr>
          <w:rFonts w:ascii="Times New Roman" w:hAnsi="Times New Roman"/>
          <w:b/>
          <w:i w:val="false"/>
          <w:color w:val="000000"/>
          <w:sz w:val="22"/>
        </w:rPr>
        <w:t>Plan</w:t>
      </w:r>
      <w:r>
        <w:rPr>
          <w:rFonts w:ascii="Times New Roman" w:hAnsi="Times New Roman"/>
          <w:b w:val="false"/>
          <w:i w:val="false"/>
          <w:color w:val="000000"/>
          <w:sz w:val="22"/>
        </w:rPr>
        <w:t xml:space="preserve"> provided by the contract holder. Examples of these types of situations are major medical coverages that are superimposed over base plan hospital and surgical benefits, and insurance-type coverages that are written in connection with a </w:t>
      </w:r>
      <w:r>
        <w:rPr>
          <w:rFonts w:ascii="Times New Roman" w:hAnsi="Times New Roman"/>
          <w:b/>
          <w:i w:val="false"/>
          <w:color w:val="000000"/>
          <w:sz w:val="22"/>
        </w:rPr>
        <w:t>Closed panel plan</w:t>
      </w:r>
      <w:r>
        <w:rPr>
          <w:rFonts w:ascii="Times New Roman" w:hAnsi="Times New Roman"/>
          <w:b w:val="false"/>
          <w:i w:val="false"/>
          <w:color w:val="000000"/>
          <w:sz w:val="22"/>
        </w:rPr>
        <w:t xml:space="preserve"> to provide out-of-network benefits.</w:t>
      </w:r>
    </w:p>
    <w:p>
      <w:pPr>
        <w:spacing w:before="0" w:after="0"/>
        <w:ind w:left="480"/>
        <w:jc w:val="both"/>
      </w:pPr>
      <w:r>
        <w:rPr>
          <w:rFonts w:ascii="Times New Roman" w:hAnsi="Times New Roman"/>
          <w:b w:val="false"/>
          <w:i w:val="false"/>
          <w:color w:val="000000"/>
          <w:sz w:val="22"/>
        </w:rPr>
        <w:t xml:space="preserve">C.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 </w:t>
      </w:r>
      <w:r>
        <w:rPr>
          <w:rFonts w:ascii="Times New Roman" w:hAnsi="Times New Roman"/>
          <w:b/>
          <w:i w:val="false"/>
          <w:color w:val="000000"/>
          <w:sz w:val="22"/>
        </w:rPr>
        <w:t>Plan</w:t>
      </w:r>
      <w:r>
        <w:rPr>
          <w:rFonts w:ascii="Times New Roman" w:hAnsi="Times New Roman"/>
          <w:b w:val="false"/>
          <w:i w:val="false"/>
          <w:color w:val="000000"/>
          <w:sz w:val="22"/>
        </w:rPr>
        <w:t xml:space="preserve"> may consider the benefits paid or provided by another </w:t>
      </w:r>
      <w:r>
        <w:rPr>
          <w:rFonts w:ascii="Times New Roman" w:hAnsi="Times New Roman"/>
          <w:b/>
          <w:i w:val="false"/>
          <w:color w:val="000000"/>
          <w:sz w:val="22"/>
        </w:rPr>
        <w:t>Plan</w:t>
      </w:r>
      <w:r>
        <w:rPr>
          <w:rFonts w:ascii="Times New Roman" w:hAnsi="Times New Roman"/>
          <w:b w:val="false"/>
          <w:i w:val="false"/>
          <w:color w:val="000000"/>
          <w:sz w:val="22"/>
        </w:rPr>
        <w:t xml:space="preserve"> in calculating payment of its benefits only when it is secondary to that other </w:t>
      </w:r>
      <w:r>
        <w:rPr>
          <w:rFonts w:ascii="Times New Roman" w:hAnsi="Times New Roman"/>
          <w:b/>
          <w:i w:val="false"/>
          <w:color w:val="000000"/>
          <w:sz w:val="22"/>
        </w:rPr>
        <w:t>Plan</w:t>
      </w:r>
      <w:r>
        <w:rPr>
          <w:rFonts w:ascii="Times New Roman" w:hAnsi="Times New Roman"/>
          <w:b w:val="false"/>
          <w:i w:val="false"/>
          <w:color w:val="000000"/>
          <w:sz w:val="22"/>
        </w:rPr>
        <w:t>.</w:t>
      </w:r>
    </w:p>
    <w:p>
      <w:pPr>
        <w:spacing w:before="0" w:after="0"/>
        <w:ind w:left="480"/>
        <w:jc w:val="both"/>
      </w:pPr>
      <w:r>
        <w:rPr>
          <w:rFonts w:ascii="Times New Roman" w:hAnsi="Times New Roman"/>
          <w:b w:val="false"/>
          <w:i w:val="false"/>
          <w:color w:val="000000"/>
          <w:sz w:val="22"/>
        </w:rPr>
        <w:t xml:space="preserve">D.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Each </w:t>
      </w:r>
      <w:r>
        <w:rPr>
          <w:rFonts w:ascii="Times New Roman" w:hAnsi="Times New Roman"/>
          <w:b/>
          <w:i w:val="false"/>
          <w:color w:val="000000"/>
          <w:sz w:val="22"/>
        </w:rPr>
        <w:t>Plan</w:t>
      </w:r>
      <w:r>
        <w:rPr>
          <w:rFonts w:ascii="Times New Roman" w:hAnsi="Times New Roman"/>
          <w:b w:val="false"/>
          <w:i w:val="false"/>
          <w:color w:val="000000"/>
          <w:sz w:val="22"/>
        </w:rPr>
        <w:t xml:space="preserve"> determines its order of benefits using the first of the following rules that apply:</w:t>
      </w:r>
    </w:p>
    <w:p>
      <w:pPr>
        <w:spacing w:before="0" w:after="0"/>
        <w:ind w:left="930"/>
        <w:jc w:val="both"/>
      </w:pPr>
      <w:r>
        <w:rPr>
          <w:rFonts w:ascii="Times New Roman" w:hAnsi="Times New Roman"/>
          <w:b w:val="false"/>
          <w:i w:val="false"/>
          <w:color w:val="000000"/>
          <w:sz w:val="22"/>
        </w:rPr>
        <w:t xml:space="preserve">(1)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Nondependent or Dependent. The </w:t>
      </w:r>
      <w:r>
        <w:rPr>
          <w:rFonts w:ascii="Times New Roman" w:hAnsi="Times New Roman"/>
          <w:b/>
          <w:i w:val="false"/>
          <w:color w:val="000000"/>
          <w:sz w:val="22"/>
        </w:rPr>
        <w:t>Plan</w:t>
      </w:r>
      <w:r>
        <w:rPr>
          <w:rFonts w:ascii="Times New Roman" w:hAnsi="Times New Roman"/>
          <w:b w:val="false"/>
          <w:i w:val="false"/>
          <w:color w:val="000000"/>
          <w:sz w:val="22"/>
        </w:rPr>
        <w:t xml:space="preserve"> that covers the person other than as a dependent, for example as an employee, member, policyholder, subscriber or retiree is the </w:t>
      </w:r>
      <w:r>
        <w:rPr>
          <w:rFonts w:ascii="Times New Roman" w:hAnsi="Times New Roman"/>
          <w:b/>
          <w:i w:val="false"/>
          <w:color w:val="000000"/>
          <w:sz w:val="22"/>
        </w:rPr>
        <w:t xml:space="preserve">Primary </w:t>
      </w:r>
      <w:r>
        <w:rPr>
          <w:rFonts w:ascii="Times New Roman" w:hAnsi="Times New Roman"/>
          <w:b/>
          <w:i w:val="false"/>
          <w:color w:val="000000"/>
          <w:sz w:val="22"/>
        </w:rPr>
        <w:t>plan</w:t>
      </w:r>
      <w:r>
        <w:rPr>
          <w:rFonts w:ascii="Times New Roman" w:hAnsi="Times New Roman"/>
          <w:b w:val="false"/>
          <w:i w:val="false"/>
          <w:color w:val="000000"/>
          <w:sz w:val="22"/>
        </w:rPr>
        <w:t xml:space="preserve"> and the </w:t>
      </w:r>
      <w:r>
        <w:rPr>
          <w:rFonts w:ascii="Times New Roman" w:hAnsi="Times New Roman"/>
          <w:b/>
          <w:i w:val="false"/>
          <w:color w:val="000000"/>
          <w:sz w:val="22"/>
        </w:rPr>
        <w:t>Plan</w:t>
      </w:r>
      <w:r>
        <w:rPr>
          <w:rFonts w:ascii="Times New Roman" w:hAnsi="Times New Roman"/>
          <w:b w:val="false"/>
          <w:i w:val="false"/>
          <w:color w:val="000000"/>
          <w:sz w:val="22"/>
        </w:rPr>
        <w:t xml:space="preserve"> that covers the person as a dependent is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However, if the person is a Medicare beneficiary and, as a result of federal law, Medicare is secondary to the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person as a dependent; and primary to the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person as other than a dependent (e.g., a retired employee); then the order of benefits between the two </w:t>
      </w:r>
      <w:r>
        <w:rPr>
          <w:rFonts w:ascii="Times New Roman" w:hAnsi="Times New Roman"/>
          <w:b/>
          <w:i w:val="false"/>
          <w:color w:val="000000"/>
          <w:sz w:val="22"/>
        </w:rPr>
        <w:t>Plans</w:t>
      </w:r>
      <w:r>
        <w:rPr>
          <w:rFonts w:ascii="Times New Roman" w:hAnsi="Times New Roman"/>
          <w:b w:val="false"/>
          <w:i w:val="false"/>
          <w:color w:val="000000"/>
          <w:sz w:val="22"/>
        </w:rPr>
        <w:t xml:space="preserve"> is reversed so that the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person as an employee, member, policyholder, subscriber or retiree is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and the other </w:t>
      </w:r>
      <w:r>
        <w:rPr>
          <w:rFonts w:ascii="Times New Roman" w:hAnsi="Times New Roman"/>
          <w:b/>
          <w:i w:val="false"/>
          <w:color w:val="000000"/>
          <w:sz w:val="22"/>
        </w:rPr>
        <w:t>Plan</w:t>
      </w:r>
      <w:r>
        <w:rPr>
          <w:rFonts w:ascii="Times New Roman" w:hAnsi="Times New Roman"/>
          <w:b w:val="false"/>
          <w:i w:val="false"/>
          <w:color w:val="000000"/>
          <w:sz w:val="22"/>
        </w:rPr>
        <w:t xml:space="preserve"> is the </w:t>
      </w:r>
      <w:r>
        <w:rPr>
          <w:rFonts w:ascii="Times New Roman" w:hAnsi="Times New Roman"/>
          <w:b/>
          <w:i w:val="false"/>
          <w:color w:val="000000"/>
          <w:sz w:val="22"/>
        </w:rPr>
        <w:t>Primary plan</w:t>
      </w:r>
      <w:r>
        <w:rPr>
          <w:rFonts w:ascii="Times New Roman" w:hAnsi="Times New Roman"/>
          <w:b w:val="false"/>
          <w:i w:val="false"/>
          <w:color w:val="000000"/>
          <w:sz w:val="22"/>
        </w:rPr>
        <w:t>.</w:t>
      </w:r>
    </w:p>
    <w:p>
      <w:pPr>
        <w:spacing w:before="0" w:after="0"/>
        <w:ind w:left="930"/>
        <w:jc w:val="both"/>
      </w:pPr>
      <w:r>
        <w:rPr>
          <w:rFonts w:ascii="Times New Roman" w:hAnsi="Times New Roman"/>
          <w:b w:val="false"/>
          <w:i w:val="false"/>
          <w:color w:val="000000"/>
          <w:sz w:val="22"/>
        </w:rPr>
        <w:t xml:space="preserve">(2)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Dependent Child Covered Under More Than One Plan. Unless there is a court decree stating otherwise, when a dependent child is covered by more than one </w:t>
      </w:r>
      <w:r>
        <w:rPr>
          <w:rFonts w:ascii="Times New Roman" w:hAnsi="Times New Roman"/>
          <w:b/>
          <w:i w:val="false"/>
          <w:color w:val="000000"/>
          <w:sz w:val="22"/>
        </w:rPr>
        <w:t>Plan</w:t>
      </w:r>
      <w:r>
        <w:rPr>
          <w:rFonts w:ascii="Times New Roman" w:hAnsi="Times New Roman"/>
          <w:b w:val="false"/>
          <w:i w:val="false"/>
          <w:color w:val="000000"/>
          <w:sz w:val="22"/>
        </w:rPr>
        <w:t xml:space="preserve"> the order of benefits is determined as follows:</w:t>
      </w:r>
    </w:p>
    <w:p>
      <w:pPr>
        <w:spacing w:before="0" w:after="0"/>
        <w:ind w:left="1294"/>
        <w:jc w:val="both"/>
      </w:pPr>
      <w:r>
        <w:rPr>
          <w:rFonts w:ascii="Times New Roman" w:hAnsi="Times New Roman"/>
          <w:b w:val="false"/>
          <w:i w:val="false"/>
          <w:color w:val="000000"/>
          <w:sz w:val="22"/>
        </w:rPr>
        <w:t xml:space="preserve">(a)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a dependent child whose parents are married or are living together, whether or not they have ever been married:</w:t>
      </w:r>
    </w:p>
    <w:p>
      <w:pPr>
        <w:spacing w:before="0" w:after="0"/>
        <w:ind w:left="98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w:t>
      </w:r>
      <w:r>
        <w:rPr>
          <w:rFonts w:ascii="Times New Roman" w:hAnsi="Times New Roman"/>
          <w:b/>
          <w:i w:val="false"/>
          <w:color w:val="000000"/>
          <w:sz w:val="22"/>
        </w:rPr>
        <w:t>Plan</w:t>
      </w:r>
      <w:r>
        <w:rPr>
          <w:rFonts w:ascii="Times New Roman" w:hAnsi="Times New Roman"/>
          <w:b w:val="false"/>
          <w:i w:val="false"/>
          <w:color w:val="000000"/>
          <w:sz w:val="22"/>
        </w:rPr>
        <w:t xml:space="preserve"> of the parent whose birthday falls earlier in the calendar year is the </w:t>
      </w:r>
      <w:r>
        <w:rPr>
          <w:rFonts w:ascii="Times New Roman" w:hAnsi="Times New Roman"/>
          <w:b/>
          <w:i w:val="false"/>
          <w:color w:val="000000"/>
          <w:sz w:val="22"/>
        </w:rPr>
        <w:t>Primary</w:t>
      </w:r>
    </w:p>
    <w:p>
      <w:pPr>
        <w:spacing w:before="0" w:after="0"/>
        <w:ind w:left="1320"/>
        <w:jc w:val="both"/>
      </w:pPr>
      <w:r>
        <w:rPr>
          <w:rFonts w:ascii="Times New Roman" w:hAnsi="Times New Roman"/>
          <w:b/>
          <w:i w:val="false"/>
          <w:color w:val="000000"/>
          <w:sz w:val="22"/>
        </w:rPr>
        <w:t>plan</w:t>
      </w:r>
      <w:r>
        <w:rPr>
          <w:rFonts w:ascii="Times New Roman" w:hAnsi="Times New Roman"/>
          <w:b w:val="false"/>
          <w:i w:val="false"/>
          <w:color w:val="000000"/>
          <w:sz w:val="22"/>
        </w:rPr>
        <w:t>; or</w:t>
      </w:r>
    </w:p>
    <w:p>
      <w:pPr>
        <w:spacing w:before="0" w:after="0"/>
        <w:ind w:left="98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both parents have the same birthday, the </w:t>
      </w:r>
      <w:r>
        <w:rPr>
          <w:rFonts w:ascii="Times New Roman" w:hAnsi="Times New Roman"/>
          <w:b/>
          <w:i w:val="false"/>
          <w:color w:val="000000"/>
          <w:sz w:val="22"/>
        </w:rPr>
        <w:t>Plan</w:t>
      </w:r>
      <w:r>
        <w:rPr>
          <w:rFonts w:ascii="Times New Roman" w:hAnsi="Times New Roman"/>
          <w:b w:val="false"/>
          <w:i w:val="false"/>
          <w:color w:val="000000"/>
          <w:sz w:val="22"/>
        </w:rPr>
        <w:t xml:space="preserve"> that has covered the parent the longest</w:t>
      </w:r>
    </w:p>
    <w:p>
      <w:pPr>
        <w:spacing w:before="0" w:after="0"/>
        <w:ind w:left="1180"/>
        <w:jc w:val="both"/>
      </w:pPr>
      <w:r>
        <w:rPr>
          <w:rFonts w:ascii="Times New Roman" w:hAnsi="Times New Roman"/>
          <w:b w:val="false"/>
          <w:i w:val="false"/>
          <w:color w:val="000000"/>
          <w:sz w:val="22"/>
        </w:rPr>
        <w:t xml:space="preserve"> is the </w:t>
      </w:r>
      <w:r>
        <w:rPr>
          <w:rFonts w:ascii="Times New Roman" w:hAnsi="Times New Roman"/>
          <w:b/>
          <w:i w:val="false"/>
          <w:color w:val="000000"/>
          <w:sz w:val="22"/>
        </w:rPr>
        <w:t>Primary plan</w:t>
      </w:r>
    </w:p>
    <w:p>
      <w:pPr>
        <w:spacing w:before="0" w:after="0"/>
        <w:ind w:left="1294"/>
        <w:jc w:val="both"/>
      </w:pPr>
      <w:r>
        <w:rPr>
          <w:rFonts w:ascii="Times New Roman" w:hAnsi="Times New Roman"/>
          <w:b w:val="false"/>
          <w:i w:val="false"/>
          <w:color w:val="000000"/>
          <w:sz w:val="22"/>
        </w:rPr>
        <w:t xml:space="preserve">(b)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a dependent child whose parents are divorced or separated or not living together, whether or not they have ever been married:</w:t>
      </w:r>
    </w:p>
    <w:p>
      <w:pPr>
        <w:spacing w:before="0" w:after="0"/>
        <w:ind w:left="1280"/>
        <w:jc w:val="both"/>
      </w:pPr>
      <w:r>
        <w:rPr>
          <w:rFonts w:ascii="Times New Roman" w:hAnsi="Times New Roman"/>
          <w:b w:val="false"/>
          <w:i w:val="false"/>
          <w:color w:val="000000"/>
          <w:sz w:val="22"/>
        </w:rPr>
        <w:t xml:space="preserve">(i)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a court decree states that one of the parents is responsible for the dependent </w:t>
      </w:r>
    </w:p>
    <w:p>
      <w:pPr>
        <w:spacing w:before="0" w:after="0"/>
        <w:ind w:left="1320"/>
        <w:jc w:val="both"/>
      </w:pPr>
      <w:r>
        <w:rPr>
          <w:rFonts w:ascii="Times New Roman" w:hAnsi="Times New Roman"/>
          <w:b w:val="false"/>
          <w:i w:val="false"/>
          <w:color w:val="000000"/>
          <w:sz w:val="22"/>
        </w:rPr>
        <w:t xml:space="preserve">child’s health care expenses or health care coverage and the </w:t>
      </w:r>
      <w:r>
        <w:rPr>
          <w:rFonts w:ascii="Times New Roman" w:hAnsi="Times New Roman"/>
          <w:b/>
          <w:i w:val="false"/>
          <w:color w:val="000000"/>
          <w:sz w:val="22"/>
        </w:rPr>
        <w:t>Plan</w:t>
      </w:r>
      <w:r>
        <w:rPr>
          <w:rFonts w:ascii="Times New Roman" w:hAnsi="Times New Roman"/>
          <w:b w:val="false"/>
          <w:i w:val="false"/>
          <w:color w:val="000000"/>
          <w:sz w:val="22"/>
        </w:rPr>
        <w:t xml:space="preserve"> of that parent has </w:t>
      </w:r>
    </w:p>
    <w:p>
      <w:pPr>
        <w:spacing w:before="0" w:after="0"/>
        <w:ind w:left="1320"/>
        <w:jc w:val="both"/>
      </w:pPr>
      <w:r>
        <w:rPr>
          <w:rFonts w:ascii="Times New Roman" w:hAnsi="Times New Roman"/>
          <w:b w:val="false"/>
          <w:i w:val="false"/>
          <w:color w:val="000000"/>
          <w:sz w:val="22"/>
        </w:rPr>
        <w:t xml:space="preserve">actual knowledge of those terms, that </w:t>
      </w:r>
      <w:r>
        <w:rPr>
          <w:rFonts w:ascii="Times New Roman" w:hAnsi="Times New Roman"/>
          <w:b/>
          <w:i w:val="false"/>
          <w:color w:val="000000"/>
          <w:sz w:val="22"/>
        </w:rPr>
        <w:t>Plan</w:t>
      </w:r>
      <w:r>
        <w:rPr>
          <w:rFonts w:ascii="Times New Roman" w:hAnsi="Times New Roman"/>
          <w:b w:val="false"/>
          <w:i w:val="false"/>
          <w:color w:val="000000"/>
          <w:sz w:val="22"/>
        </w:rPr>
        <w:t xml:space="preserve"> is primary. This rule applies to plan years</w:t>
      </w:r>
    </w:p>
    <w:p>
      <w:pPr>
        <w:spacing w:before="0" w:after="0"/>
        <w:ind w:left="1320"/>
        <w:jc w:val="both"/>
      </w:pPr>
      <w:r>
        <w:rPr>
          <w:rFonts w:ascii="Times New Roman" w:hAnsi="Times New Roman"/>
          <w:b w:val="false"/>
          <w:i w:val="false"/>
          <w:color w:val="000000"/>
          <w:sz w:val="22"/>
        </w:rPr>
        <w:t xml:space="preserve">commencing after the </w:t>
      </w:r>
      <w:r>
        <w:rPr>
          <w:rFonts w:ascii="Times New Roman" w:hAnsi="Times New Roman"/>
          <w:b/>
          <w:i w:val="false"/>
          <w:color w:val="000000"/>
          <w:sz w:val="22"/>
        </w:rPr>
        <w:t>Plan</w:t>
      </w:r>
      <w:r>
        <w:rPr>
          <w:rFonts w:ascii="Times New Roman" w:hAnsi="Times New Roman"/>
          <w:b w:val="false"/>
          <w:i w:val="false"/>
          <w:color w:val="000000"/>
          <w:sz w:val="22"/>
        </w:rPr>
        <w:t xml:space="preserve"> is given notice of the court decree;</w:t>
      </w:r>
    </w:p>
    <w:p>
      <w:pPr>
        <w:spacing w:before="0" w:after="0"/>
        <w:ind w:left="1646"/>
        <w:jc w:val="both"/>
      </w:pPr>
      <w:r>
        <w:rPr>
          <w:rFonts w:ascii="Times New Roman" w:hAnsi="Times New Roman"/>
          <w:b w:val="false"/>
          <w:i w:val="false"/>
          <w:color w:val="000000"/>
          <w:sz w:val="22"/>
        </w:rPr>
        <w:t>(ii)</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a court decree states that both parents are responsible for the dependent child’s health care expenses or health care coverage, the provisions of Subparagraph (a) above shall determine the order of benefits; </w:t>
      </w:r>
    </w:p>
    <w:p>
      <w:pPr>
        <w:spacing w:before="0" w:after="0"/>
        <w:ind w:left="1646"/>
        <w:jc w:val="both"/>
      </w:pPr>
      <w:r>
        <w:rPr>
          <w:rFonts w:ascii="Times New Roman" w:hAnsi="Times New Roman"/>
          <w:b w:val="false"/>
          <w:i w:val="false"/>
          <w:color w:val="000000"/>
          <w:sz w:val="22"/>
        </w:rPr>
        <w:t>(iii) If a court decree states that the parents have joint custody without specifying that one parent has responsibility for the health care expenses or health care coverage of the dependent child, the provisions of Subparagraph (a) above shall determine the order of benefits; or</w:t>
      </w:r>
    </w:p>
    <w:p>
      <w:pPr>
        <w:spacing w:before="0" w:after="0"/>
        <w:ind w:left="1646"/>
        <w:jc w:val="both"/>
      </w:pPr>
      <w:r>
        <w:rPr>
          <w:rFonts w:ascii="Times New Roman" w:hAnsi="Times New Roman"/>
          <w:b w:val="false"/>
          <w:i w:val="false"/>
          <w:color w:val="000000"/>
          <w:sz w:val="22"/>
        </w:rPr>
        <w:t>(iv) If there is no court decree allocating responsibility for the dependent child’s health care expenses or health care coverage, the order of benefits for the child is as follows:</w:t>
      </w:r>
    </w:p>
    <w:p>
      <w:pPr>
        <w:spacing w:before="0" w:after="0"/>
        <w:ind w:left="98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w:t>
      </w:r>
      <w:r>
        <w:rPr>
          <w:rFonts w:ascii="Times New Roman" w:hAnsi="Times New Roman"/>
          <w:b/>
          <w:i w:val="false"/>
          <w:color w:val="000000"/>
          <w:sz w:val="22"/>
        </w:rPr>
        <w:t>Custodial parent</w:t>
      </w:r>
      <w:r>
        <w:rPr>
          <w:rFonts w:ascii="Times New Roman" w:hAnsi="Times New Roman"/>
          <w:b w:val="false"/>
          <w:i w:val="false"/>
          <w:color w:val="000000"/>
          <w:sz w:val="22"/>
        </w:rPr>
        <w:t>;</w:t>
      </w:r>
    </w:p>
    <w:p>
      <w:pPr>
        <w:spacing w:before="0" w:after="0"/>
        <w:ind w:left="98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spouse of the </w:t>
      </w:r>
      <w:r>
        <w:rPr>
          <w:rFonts w:ascii="Times New Roman" w:hAnsi="Times New Roman"/>
          <w:b/>
          <w:i w:val="false"/>
          <w:color w:val="000000"/>
          <w:sz w:val="22"/>
        </w:rPr>
        <w:t>Custodial parent</w:t>
      </w:r>
      <w:r>
        <w:rPr>
          <w:rFonts w:ascii="Times New Roman" w:hAnsi="Times New Roman"/>
          <w:b w:val="false"/>
          <w:i w:val="false"/>
          <w:color w:val="000000"/>
          <w:sz w:val="22"/>
        </w:rPr>
        <w:t>;</w:t>
      </w:r>
    </w:p>
    <w:p>
      <w:pPr>
        <w:spacing w:before="0" w:after="0"/>
        <w:ind w:left="98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w:t>
      </w:r>
      <w:r>
        <w:rPr>
          <w:rFonts w:ascii="Times New Roman" w:hAnsi="Times New Roman"/>
          <w:b/>
          <w:i w:val="false"/>
          <w:color w:val="000000"/>
          <w:sz w:val="22"/>
        </w:rPr>
        <w:t>Noncustodial parent</w:t>
      </w:r>
      <w:r>
        <w:rPr>
          <w:rFonts w:ascii="Times New Roman" w:hAnsi="Times New Roman"/>
          <w:b w:val="false"/>
          <w:i w:val="false"/>
          <w:color w:val="000000"/>
          <w:sz w:val="22"/>
        </w:rPr>
        <w:t>; and then</w:t>
      </w:r>
    </w:p>
    <w:p>
      <w:pPr>
        <w:spacing w:before="0" w:after="0"/>
        <w:ind w:left="98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spouse of the </w:t>
      </w:r>
      <w:r>
        <w:rPr>
          <w:rFonts w:ascii="Times New Roman" w:hAnsi="Times New Roman"/>
          <w:b/>
          <w:i w:val="false"/>
          <w:color w:val="000000"/>
          <w:sz w:val="22"/>
        </w:rPr>
        <w:t>Noncustodial parent</w:t>
      </w:r>
      <w:r>
        <w:rPr>
          <w:rFonts w:ascii="Times New Roman" w:hAnsi="Times New Roman"/>
          <w:b w:val="false"/>
          <w:i w:val="false"/>
          <w:color w:val="000000"/>
          <w:sz w:val="22"/>
        </w:rPr>
        <w:t>.</w:t>
      </w:r>
    </w:p>
    <w:p>
      <w:pPr>
        <w:spacing w:before="0" w:after="0"/>
        <w:ind w:left="1294"/>
        <w:jc w:val="both"/>
      </w:pPr>
      <w:r>
        <w:rPr>
          <w:rFonts w:ascii="Times New Roman" w:hAnsi="Times New Roman"/>
          <w:b w:val="false"/>
          <w:i w:val="false"/>
          <w:color w:val="000000"/>
          <w:sz w:val="22"/>
        </w:rPr>
        <w:t xml:space="preserve">(c)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For a dependent child covered under more than one </w:t>
      </w:r>
      <w:r>
        <w:rPr>
          <w:rFonts w:ascii="Times New Roman" w:hAnsi="Times New Roman"/>
          <w:b/>
          <w:i w:val="false"/>
          <w:color w:val="000000"/>
          <w:sz w:val="22"/>
        </w:rPr>
        <w:t xml:space="preserve">Plan </w:t>
      </w:r>
      <w:r>
        <w:rPr>
          <w:rFonts w:ascii="Times New Roman" w:hAnsi="Times New Roman"/>
          <w:b w:val="false"/>
          <w:i w:val="false"/>
          <w:color w:val="000000"/>
          <w:sz w:val="22"/>
        </w:rPr>
        <w:t>of individuals who are the parents of the child, the provisions of Subparagraph (a) or (b) above shall determine the order of benefits as if those individuals were the parents of the child.</w:t>
      </w:r>
    </w:p>
    <w:p>
      <w:pPr>
        <w:spacing w:before="0" w:after="0"/>
        <w:ind w:left="930"/>
        <w:jc w:val="both"/>
      </w:pPr>
      <w:r>
        <w:rPr>
          <w:rFonts w:ascii="Times New Roman" w:hAnsi="Times New Roman"/>
          <w:b w:val="false"/>
          <w:i w:val="false"/>
          <w:color w:val="000000"/>
          <w:sz w:val="22"/>
        </w:rPr>
        <w:t xml:space="preserve">(3)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Active Employee or Retired or Laid-Off Employee. The </w:t>
      </w:r>
      <w:r>
        <w:rPr>
          <w:rFonts w:ascii="Times New Roman" w:hAnsi="Times New Roman"/>
          <w:b/>
          <w:i w:val="false"/>
          <w:color w:val="000000"/>
          <w:sz w:val="22"/>
        </w:rPr>
        <w:t>Plan</w:t>
      </w:r>
      <w:r>
        <w:rPr>
          <w:rFonts w:ascii="Times New Roman" w:hAnsi="Times New Roman"/>
          <w:b w:val="false"/>
          <w:i w:val="false"/>
          <w:color w:val="000000"/>
          <w:sz w:val="22"/>
        </w:rPr>
        <w:t xml:space="preserve"> that covers a person as an active employee, that is, an employee who is neither laid off nor retired, is the </w:t>
      </w:r>
      <w:r>
        <w:rPr>
          <w:rFonts w:ascii="Times New Roman" w:hAnsi="Times New Roman"/>
          <w:b/>
          <w:i w:val="false"/>
          <w:color w:val="000000"/>
          <w:sz w:val="22"/>
        </w:rPr>
        <w:t>Primary plan</w:t>
      </w:r>
      <w:r>
        <w:rPr>
          <w:rFonts w:ascii="Times New Roman" w:hAnsi="Times New Roman"/>
          <w:b w:val="false"/>
          <w:i w:val="false"/>
          <w:color w:val="000000"/>
          <w:sz w:val="22"/>
        </w:rPr>
        <w:t xml:space="preserve">. The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that same person as a retired or laid-off employee is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The same would hold true if a person is a dependent of an active employee and that same person is a dependent of a retired or laid-off employee. If the other </w:t>
      </w:r>
      <w:r>
        <w:rPr>
          <w:rFonts w:ascii="Times New Roman" w:hAnsi="Times New Roman"/>
          <w:b/>
          <w:i w:val="false"/>
          <w:color w:val="000000"/>
          <w:sz w:val="22"/>
        </w:rPr>
        <w:t>Plan</w:t>
      </w:r>
      <w:r>
        <w:rPr>
          <w:rFonts w:ascii="Times New Roman" w:hAnsi="Times New Roman"/>
          <w:b w:val="false"/>
          <w:i w:val="false"/>
          <w:color w:val="000000"/>
          <w:sz w:val="22"/>
        </w:rPr>
        <w:t xml:space="preserve"> does not have this rule, and as a result, the </w:t>
      </w:r>
      <w:r>
        <w:rPr>
          <w:rFonts w:ascii="Times New Roman" w:hAnsi="Times New Roman"/>
          <w:b/>
          <w:i w:val="false"/>
          <w:color w:val="000000"/>
          <w:sz w:val="22"/>
        </w:rPr>
        <w:t>Plans</w:t>
      </w:r>
      <w:r>
        <w:rPr>
          <w:rFonts w:ascii="Times New Roman" w:hAnsi="Times New Roman"/>
          <w:b w:val="false"/>
          <w:i w:val="false"/>
          <w:color w:val="000000"/>
          <w:sz w:val="22"/>
        </w:rPr>
        <w:t xml:space="preserve"> do not agree on the order of benefits, this rule is ignored. This rule does not apply if the rule labeled D(1) can determine the order of benefits.</w:t>
      </w:r>
    </w:p>
    <w:p>
      <w:pPr>
        <w:spacing w:before="0" w:after="0"/>
        <w:ind w:left="930"/>
        <w:jc w:val="both"/>
      </w:pPr>
      <w:r>
        <w:rPr>
          <w:rFonts w:ascii="Times New Roman" w:hAnsi="Times New Roman"/>
          <w:b w:val="false"/>
          <w:i w:val="false"/>
          <w:color w:val="000000"/>
          <w:sz w:val="22"/>
        </w:rPr>
        <w:t xml:space="preserve">(4)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COBRA or State Continuation Coverage. If a person whose coverage is provided pursuant to COBRA or under a right of continuation provided by state or other federal law is covered under another </w:t>
      </w:r>
      <w:r>
        <w:rPr>
          <w:rFonts w:ascii="Times New Roman" w:hAnsi="Times New Roman"/>
          <w:b/>
          <w:i w:val="false"/>
          <w:color w:val="000000"/>
          <w:sz w:val="22"/>
        </w:rPr>
        <w:t>Plan</w:t>
      </w:r>
      <w:r>
        <w:rPr>
          <w:rFonts w:ascii="Times New Roman" w:hAnsi="Times New Roman"/>
          <w:b w:val="false"/>
          <w:i w:val="false"/>
          <w:color w:val="000000"/>
          <w:sz w:val="22"/>
        </w:rPr>
        <w:t xml:space="preserve">, the </w:t>
      </w:r>
      <w:r>
        <w:rPr>
          <w:rFonts w:ascii="Times New Roman" w:hAnsi="Times New Roman"/>
          <w:b/>
          <w:i w:val="false"/>
          <w:color w:val="000000"/>
          <w:sz w:val="22"/>
        </w:rPr>
        <w:t>Plan</w:t>
      </w:r>
      <w:r>
        <w:rPr>
          <w:rFonts w:ascii="Times New Roman" w:hAnsi="Times New Roman"/>
          <w:b w:val="false"/>
          <w:i w:val="false"/>
          <w:color w:val="000000"/>
          <w:sz w:val="22"/>
        </w:rPr>
        <w:t xml:space="preserve"> covering the person as an employee, member, subscriber or retiree or covering the person as a dependent of an employee, member, subscriber or retiree is the </w:t>
      </w:r>
      <w:r>
        <w:rPr>
          <w:rFonts w:ascii="Times New Roman" w:hAnsi="Times New Roman"/>
          <w:b/>
          <w:i w:val="false"/>
          <w:color w:val="000000"/>
          <w:sz w:val="22"/>
        </w:rPr>
        <w:t>Primary plan</w:t>
      </w:r>
      <w:r>
        <w:rPr>
          <w:rFonts w:ascii="Times New Roman" w:hAnsi="Times New Roman"/>
          <w:b w:val="false"/>
          <w:i w:val="false"/>
          <w:color w:val="000000"/>
          <w:sz w:val="22"/>
        </w:rPr>
        <w:t xml:space="preserve"> and the COBRA or state or other federal continuation coverage is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If the other </w:t>
      </w:r>
      <w:r>
        <w:rPr>
          <w:rFonts w:ascii="Times New Roman" w:hAnsi="Times New Roman"/>
          <w:b/>
          <w:i w:val="false"/>
          <w:color w:val="000000"/>
          <w:sz w:val="22"/>
        </w:rPr>
        <w:t>Plan</w:t>
      </w:r>
      <w:r>
        <w:rPr>
          <w:rFonts w:ascii="Times New Roman" w:hAnsi="Times New Roman"/>
          <w:b w:val="false"/>
          <w:i w:val="false"/>
          <w:color w:val="000000"/>
          <w:sz w:val="22"/>
        </w:rPr>
        <w:t xml:space="preserve"> does not have this rule, and as a result, the </w:t>
      </w:r>
      <w:r>
        <w:rPr>
          <w:rFonts w:ascii="Times New Roman" w:hAnsi="Times New Roman"/>
          <w:b/>
          <w:i w:val="false"/>
          <w:color w:val="000000"/>
          <w:sz w:val="22"/>
        </w:rPr>
        <w:t>Plans</w:t>
      </w:r>
      <w:r>
        <w:rPr>
          <w:rFonts w:ascii="Times New Roman" w:hAnsi="Times New Roman"/>
          <w:b w:val="false"/>
          <w:i w:val="false"/>
          <w:color w:val="000000"/>
          <w:sz w:val="22"/>
        </w:rPr>
        <w:t xml:space="preserve"> do not agree on the order of benefits, this rule is ignored. This rule does not apply if the rule labeled D(1) can determine the order of benefits.</w:t>
      </w:r>
    </w:p>
    <w:p>
      <w:pPr>
        <w:spacing w:before="0" w:after="0"/>
        <w:ind w:left="930"/>
        <w:jc w:val="both"/>
      </w:pPr>
      <w:r>
        <w:rPr>
          <w:rFonts w:ascii="Times New Roman" w:hAnsi="Times New Roman"/>
          <w:b w:val="false"/>
          <w:i w:val="false"/>
          <w:color w:val="000000"/>
          <w:sz w:val="22"/>
        </w:rPr>
        <w:t xml:space="preserve">(5)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Longer or Shorter Length of Coverage. The </w:t>
      </w:r>
      <w:r>
        <w:rPr>
          <w:rFonts w:ascii="Times New Roman" w:hAnsi="Times New Roman"/>
          <w:b/>
          <w:i w:val="false"/>
          <w:color w:val="000000"/>
          <w:sz w:val="22"/>
        </w:rPr>
        <w:t>Plan</w:t>
      </w:r>
      <w:r>
        <w:rPr>
          <w:rFonts w:ascii="Times New Roman" w:hAnsi="Times New Roman"/>
          <w:b w:val="false"/>
          <w:i w:val="false"/>
          <w:color w:val="000000"/>
          <w:sz w:val="22"/>
        </w:rPr>
        <w:t xml:space="preserve"> that covered the person as an employee, member, policyholder, subscriber or retiree longer is the </w:t>
      </w:r>
      <w:r>
        <w:rPr>
          <w:rFonts w:ascii="Times New Roman" w:hAnsi="Times New Roman"/>
          <w:b/>
          <w:i w:val="false"/>
          <w:color w:val="000000"/>
          <w:sz w:val="22"/>
        </w:rPr>
        <w:t>Primar</w:t>
      </w:r>
      <w:r>
        <w:rPr>
          <w:rFonts w:ascii="Times New Roman" w:hAnsi="Times New Roman"/>
          <w:b w:val="false"/>
          <w:i w:val="false"/>
          <w:color w:val="000000"/>
          <w:sz w:val="22"/>
        </w:rPr>
        <w:t xml:space="preserve">y </w:t>
      </w:r>
      <w:r>
        <w:rPr>
          <w:rFonts w:ascii="Times New Roman" w:hAnsi="Times New Roman"/>
          <w:b/>
          <w:i w:val="false"/>
          <w:color w:val="000000"/>
          <w:sz w:val="22"/>
        </w:rPr>
        <w:t>plan</w:t>
      </w:r>
      <w:r>
        <w:rPr>
          <w:rFonts w:ascii="Times New Roman" w:hAnsi="Times New Roman"/>
          <w:b w:val="false"/>
          <w:i w:val="false"/>
          <w:color w:val="000000"/>
          <w:sz w:val="22"/>
        </w:rPr>
        <w:t xml:space="preserve"> and the </w:t>
      </w:r>
      <w:r>
        <w:rPr>
          <w:rFonts w:ascii="Times New Roman" w:hAnsi="Times New Roman"/>
          <w:b/>
          <w:i w:val="false"/>
          <w:color w:val="000000"/>
          <w:sz w:val="22"/>
        </w:rPr>
        <w:t>Plan</w:t>
      </w:r>
      <w:r>
        <w:rPr>
          <w:rFonts w:ascii="Times New Roman" w:hAnsi="Times New Roman"/>
          <w:b w:val="false"/>
          <w:i w:val="false"/>
          <w:color w:val="000000"/>
          <w:sz w:val="22"/>
        </w:rPr>
        <w:t xml:space="preserve"> that covered the person the shorter period of time is the </w:t>
      </w:r>
      <w:r>
        <w:rPr>
          <w:rFonts w:ascii="Times New Roman" w:hAnsi="Times New Roman"/>
          <w:b/>
          <w:i w:val="false"/>
          <w:color w:val="000000"/>
          <w:sz w:val="22"/>
        </w:rPr>
        <w:t>Secondary plan</w:t>
      </w:r>
      <w:r>
        <w:rPr>
          <w:rFonts w:ascii="Times New Roman" w:hAnsi="Times New Roman"/>
          <w:b w:val="false"/>
          <w:i w:val="false"/>
          <w:color w:val="000000"/>
          <w:sz w:val="22"/>
        </w:rPr>
        <w:t>.</w:t>
      </w:r>
    </w:p>
    <w:p>
      <w:pPr>
        <w:spacing w:before="0" w:after="0"/>
        <w:ind w:left="930"/>
        <w:jc w:val="both"/>
      </w:pPr>
      <w:r>
        <w:rPr>
          <w:rFonts w:ascii="Times New Roman" w:hAnsi="Times New Roman"/>
          <w:b w:val="false"/>
          <w:i w:val="false"/>
          <w:color w:val="000000"/>
          <w:sz w:val="22"/>
        </w:rPr>
        <w:t xml:space="preserve">(6)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the preceding rules do not determine the order of benefits, the </w:t>
      </w:r>
      <w:r>
        <w:rPr>
          <w:rFonts w:ascii="Times New Roman" w:hAnsi="Times New Roman"/>
          <w:b/>
          <w:i w:val="false"/>
          <w:color w:val="000000"/>
          <w:sz w:val="22"/>
        </w:rPr>
        <w:t>Allowable expenses</w:t>
      </w:r>
      <w:r>
        <w:rPr>
          <w:rFonts w:ascii="Times New Roman" w:hAnsi="Times New Roman"/>
          <w:b w:val="false"/>
          <w:i w:val="false"/>
          <w:color w:val="000000"/>
          <w:sz w:val="22"/>
        </w:rPr>
        <w:t xml:space="preserve"> shall be shared equally between the </w:t>
      </w:r>
      <w:r>
        <w:rPr>
          <w:rFonts w:ascii="Times New Roman" w:hAnsi="Times New Roman"/>
          <w:b/>
          <w:i w:val="false"/>
          <w:color w:val="000000"/>
          <w:sz w:val="22"/>
        </w:rPr>
        <w:t>Plans</w:t>
      </w:r>
      <w:r>
        <w:rPr>
          <w:rFonts w:ascii="Times New Roman" w:hAnsi="Times New Roman"/>
          <w:b w:val="false"/>
          <w:i w:val="false"/>
          <w:color w:val="000000"/>
          <w:sz w:val="22"/>
        </w:rPr>
        <w:t xml:space="preserve"> meeting the definition of </w:t>
      </w:r>
      <w:r>
        <w:rPr>
          <w:rFonts w:ascii="Times New Roman" w:hAnsi="Times New Roman"/>
          <w:b/>
          <w:i w:val="false"/>
          <w:color w:val="000000"/>
          <w:sz w:val="22"/>
        </w:rPr>
        <w:t>Plan</w:t>
      </w:r>
      <w:r>
        <w:rPr>
          <w:rFonts w:ascii="Times New Roman" w:hAnsi="Times New Roman"/>
          <w:b w:val="false"/>
          <w:i w:val="false"/>
          <w:color w:val="000000"/>
          <w:sz w:val="22"/>
        </w:rPr>
        <w:t xml:space="preserve">. In addition, </w:t>
      </w:r>
      <w:r>
        <w:rPr>
          <w:rFonts w:ascii="Times New Roman" w:hAnsi="Times New Roman"/>
          <w:b/>
          <w:i w:val="false"/>
          <w:color w:val="000000"/>
          <w:sz w:val="22"/>
        </w:rPr>
        <w:t>This plan</w:t>
      </w:r>
      <w:r>
        <w:rPr>
          <w:rFonts w:ascii="Times New Roman" w:hAnsi="Times New Roman"/>
          <w:b w:val="false"/>
          <w:i w:val="false"/>
          <w:color w:val="000000"/>
          <w:sz w:val="22"/>
        </w:rPr>
        <w:t xml:space="preserve"> will not pay more than it would have paid had it been the </w:t>
      </w:r>
      <w:r>
        <w:rPr>
          <w:rFonts w:ascii="Times New Roman" w:hAnsi="Times New Roman"/>
          <w:b/>
          <w:i w:val="false"/>
          <w:color w:val="000000"/>
          <w:sz w:val="22"/>
        </w:rPr>
        <w:t>Primary plan</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EFFECT ON THE BENEFITS OF THIS PLAN</w:t>
      </w:r>
    </w:p>
    <w:p>
      <w:pPr>
        <w:spacing w:before="0" w:after="0"/>
        <w:ind w:left="930"/>
        <w:jc w:val="both"/>
      </w:pPr>
      <w:r>
        <w:rPr>
          <w:rFonts w:ascii="Times New Roman" w:hAnsi="Times New Roman"/>
          <w:b w:val="false"/>
          <w:i w:val="false"/>
          <w:color w:val="000000"/>
          <w:sz w:val="22"/>
        </w:rPr>
        <w:t xml:space="preserve">A.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When </w:t>
      </w:r>
      <w:r>
        <w:rPr>
          <w:rFonts w:ascii="Times New Roman" w:hAnsi="Times New Roman"/>
          <w:b/>
          <w:i w:val="false"/>
          <w:color w:val="000000"/>
          <w:sz w:val="22"/>
        </w:rPr>
        <w:t>This plan</w:t>
      </w:r>
      <w:r>
        <w:rPr>
          <w:rFonts w:ascii="Times New Roman" w:hAnsi="Times New Roman"/>
          <w:b w:val="false"/>
          <w:i w:val="false"/>
          <w:color w:val="000000"/>
          <w:sz w:val="22"/>
        </w:rPr>
        <w:t xml:space="preserve"> is secondary, it may reduce its benefits so that the total benefits paid or provided by all </w:t>
      </w:r>
      <w:r>
        <w:rPr>
          <w:rFonts w:ascii="Times New Roman" w:hAnsi="Times New Roman"/>
          <w:b/>
          <w:i w:val="false"/>
          <w:color w:val="000000"/>
          <w:sz w:val="22"/>
        </w:rPr>
        <w:t>Plans</w:t>
      </w:r>
      <w:r>
        <w:rPr>
          <w:rFonts w:ascii="Times New Roman" w:hAnsi="Times New Roman"/>
          <w:b w:val="false"/>
          <w:i w:val="false"/>
          <w:color w:val="000000"/>
          <w:sz w:val="22"/>
        </w:rPr>
        <w:t xml:space="preserve"> during a plan year are not more than the total </w:t>
      </w:r>
      <w:r>
        <w:rPr>
          <w:rFonts w:ascii="Times New Roman" w:hAnsi="Times New Roman"/>
          <w:b/>
          <w:i w:val="false"/>
          <w:color w:val="000000"/>
          <w:sz w:val="22"/>
        </w:rPr>
        <w:t>Allowable expenses</w:t>
      </w:r>
      <w:r>
        <w:rPr>
          <w:rFonts w:ascii="Times New Roman" w:hAnsi="Times New Roman"/>
          <w:b w:val="false"/>
          <w:i w:val="false"/>
          <w:color w:val="000000"/>
          <w:sz w:val="22"/>
        </w:rPr>
        <w:t xml:space="preserve">. In determining the amount to be paid for any claim,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will calculate the benefits it would have paid in the absence of other health care coverage and apply that calculated amount to any </w:t>
      </w:r>
      <w:r>
        <w:rPr>
          <w:rFonts w:ascii="Times New Roman" w:hAnsi="Times New Roman"/>
          <w:b/>
          <w:i w:val="false"/>
          <w:color w:val="000000"/>
          <w:sz w:val="22"/>
        </w:rPr>
        <w:t>Allowable expense</w:t>
      </w:r>
      <w:r>
        <w:rPr>
          <w:rFonts w:ascii="Times New Roman" w:hAnsi="Times New Roman"/>
          <w:b w:val="false"/>
          <w:i w:val="false"/>
          <w:color w:val="000000"/>
          <w:sz w:val="22"/>
        </w:rPr>
        <w:t xml:space="preserve"> under its </w:t>
      </w:r>
      <w:r>
        <w:rPr>
          <w:rFonts w:ascii="Times New Roman" w:hAnsi="Times New Roman"/>
          <w:b/>
          <w:i w:val="false"/>
          <w:color w:val="000000"/>
          <w:sz w:val="22"/>
        </w:rPr>
        <w:t>Plan</w:t>
      </w:r>
      <w:r>
        <w:rPr>
          <w:rFonts w:ascii="Times New Roman" w:hAnsi="Times New Roman"/>
          <w:b w:val="false"/>
          <w:i w:val="false"/>
          <w:color w:val="000000"/>
          <w:sz w:val="22"/>
        </w:rPr>
        <w:t xml:space="preserve"> that is unpaid by the </w:t>
      </w:r>
      <w:r>
        <w:rPr>
          <w:rFonts w:ascii="Times New Roman" w:hAnsi="Times New Roman"/>
          <w:b/>
          <w:i w:val="false"/>
          <w:color w:val="000000"/>
          <w:sz w:val="22"/>
        </w:rPr>
        <w:t>Primary plan</w:t>
      </w:r>
      <w:r>
        <w:rPr>
          <w:rFonts w:ascii="Times New Roman" w:hAnsi="Times New Roman"/>
          <w:b w:val="false"/>
          <w:i w:val="false"/>
          <w:color w:val="000000"/>
          <w:sz w:val="22"/>
        </w:rPr>
        <w:t xml:space="preserve">.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may then reduce its payment by the amount so that, when combined with the amount paid by the </w:t>
      </w:r>
      <w:r>
        <w:rPr>
          <w:rFonts w:ascii="Times New Roman" w:hAnsi="Times New Roman"/>
          <w:b/>
          <w:i w:val="false"/>
          <w:color w:val="000000"/>
          <w:sz w:val="22"/>
        </w:rPr>
        <w:t>Primary plan</w:t>
      </w:r>
      <w:r>
        <w:rPr>
          <w:rFonts w:ascii="Times New Roman" w:hAnsi="Times New Roman"/>
          <w:b w:val="false"/>
          <w:i w:val="false"/>
          <w:color w:val="000000"/>
          <w:sz w:val="22"/>
        </w:rPr>
        <w:t xml:space="preserve">, the total benefits paid or provided by all </w:t>
      </w:r>
      <w:r>
        <w:rPr>
          <w:rFonts w:ascii="Times New Roman" w:hAnsi="Times New Roman"/>
          <w:b/>
          <w:i w:val="false"/>
          <w:color w:val="000000"/>
          <w:sz w:val="22"/>
        </w:rPr>
        <w:t>Plans</w:t>
      </w:r>
      <w:r>
        <w:rPr>
          <w:rFonts w:ascii="Times New Roman" w:hAnsi="Times New Roman"/>
          <w:b w:val="false"/>
          <w:i w:val="false"/>
          <w:color w:val="000000"/>
          <w:sz w:val="22"/>
        </w:rPr>
        <w:t xml:space="preserve"> for the claim do not exceed the total </w:t>
      </w:r>
      <w:r>
        <w:rPr>
          <w:rFonts w:ascii="Times New Roman" w:hAnsi="Times New Roman"/>
          <w:b/>
          <w:i w:val="false"/>
          <w:color w:val="000000"/>
          <w:sz w:val="22"/>
        </w:rPr>
        <w:t>Allowable expense</w:t>
      </w:r>
      <w:r>
        <w:rPr>
          <w:rFonts w:ascii="Times New Roman" w:hAnsi="Times New Roman"/>
          <w:b w:val="false"/>
          <w:i w:val="false"/>
          <w:color w:val="000000"/>
          <w:sz w:val="22"/>
        </w:rPr>
        <w:t xml:space="preserve"> for that claim. In addition, the </w:t>
      </w:r>
      <w:r>
        <w:rPr>
          <w:rFonts w:ascii="Times New Roman" w:hAnsi="Times New Roman"/>
          <w:b/>
          <w:i w:val="false"/>
          <w:color w:val="000000"/>
          <w:sz w:val="22"/>
        </w:rPr>
        <w:t>Secondary plan</w:t>
      </w:r>
      <w:r>
        <w:rPr>
          <w:rFonts w:ascii="Times New Roman" w:hAnsi="Times New Roman"/>
          <w:b w:val="false"/>
          <w:i w:val="false"/>
          <w:color w:val="000000"/>
          <w:sz w:val="22"/>
        </w:rPr>
        <w:t xml:space="preserve"> shall credit to its plan deductible any amounts it would have credited to its deductible in the absence of other health care coverage.</w:t>
      </w:r>
    </w:p>
    <w:p>
      <w:pPr>
        <w:spacing w:before="0" w:after="0"/>
        <w:ind w:left="930"/>
        <w:jc w:val="both"/>
      </w:pPr>
      <w:r>
        <w:rPr>
          <w:rFonts w:ascii="Times New Roman" w:hAnsi="Times New Roman"/>
          <w:b w:val="false"/>
          <w:i w:val="false"/>
          <w:color w:val="000000"/>
          <w:sz w:val="22"/>
        </w:rPr>
        <w:t xml:space="preserve">B.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a covered person is enrolled in two or more </w:t>
      </w:r>
      <w:r>
        <w:rPr>
          <w:rFonts w:ascii="Times New Roman" w:hAnsi="Times New Roman"/>
          <w:b/>
          <w:i w:val="false"/>
          <w:color w:val="000000"/>
          <w:sz w:val="22"/>
        </w:rPr>
        <w:t>Closed panel plans</w:t>
      </w:r>
      <w:r>
        <w:rPr>
          <w:rFonts w:ascii="Times New Roman" w:hAnsi="Times New Roman"/>
          <w:b w:val="false"/>
          <w:i w:val="false"/>
          <w:color w:val="000000"/>
          <w:sz w:val="22"/>
        </w:rPr>
        <w:t xml:space="preserve"> and if, for any reason, including the provision of service by a non-panel provider, benefits are not payable by one </w:t>
      </w:r>
      <w:r>
        <w:rPr>
          <w:rFonts w:ascii="Times New Roman" w:hAnsi="Times New Roman"/>
          <w:b/>
          <w:i w:val="false"/>
          <w:color w:val="000000"/>
          <w:sz w:val="22"/>
        </w:rPr>
        <w:t>Closed panel plan</w:t>
      </w:r>
      <w:r>
        <w:rPr>
          <w:rFonts w:ascii="Times New Roman" w:hAnsi="Times New Roman"/>
          <w:b w:val="false"/>
          <w:i w:val="false"/>
          <w:color w:val="000000"/>
          <w:sz w:val="22"/>
        </w:rPr>
        <w:t xml:space="preserve">, </w:t>
      </w:r>
      <w:r>
        <w:rPr>
          <w:rFonts w:ascii="Times New Roman" w:hAnsi="Times New Roman"/>
          <w:b/>
          <w:i w:val="false"/>
          <w:color w:val="000000"/>
          <w:sz w:val="22"/>
        </w:rPr>
        <w:t>COB</w:t>
      </w:r>
      <w:r>
        <w:rPr>
          <w:rFonts w:ascii="Times New Roman" w:hAnsi="Times New Roman"/>
          <w:b w:val="false"/>
          <w:i w:val="false"/>
          <w:color w:val="000000"/>
          <w:sz w:val="22"/>
        </w:rPr>
        <w:t xml:space="preserve"> shall not apply between that </w:t>
      </w:r>
      <w:r>
        <w:rPr>
          <w:rFonts w:ascii="Times New Roman" w:hAnsi="Times New Roman"/>
          <w:b/>
          <w:i w:val="false"/>
          <w:color w:val="000000"/>
          <w:sz w:val="22"/>
        </w:rPr>
        <w:t>Plan</w:t>
      </w:r>
      <w:r>
        <w:rPr>
          <w:rFonts w:ascii="Times New Roman" w:hAnsi="Times New Roman"/>
          <w:b w:val="false"/>
          <w:i w:val="false"/>
          <w:color w:val="000000"/>
          <w:sz w:val="22"/>
        </w:rPr>
        <w:t xml:space="preserve"> and other </w:t>
      </w:r>
      <w:r>
        <w:rPr>
          <w:rFonts w:ascii="Times New Roman" w:hAnsi="Times New Roman"/>
          <w:b/>
          <w:i w:val="false"/>
          <w:color w:val="000000"/>
          <w:sz w:val="22"/>
        </w:rPr>
        <w:t>Closed panel plans</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RIGHT TO RECEIVE AND RELEASE NEEDED INFORMATION</w:t>
      </w:r>
    </w:p>
    <w:p>
      <w:pPr>
        <w:spacing w:before="0" w:after="0"/>
        <w:ind w:left="120"/>
        <w:jc w:val="both"/>
      </w:pPr>
      <w:r>
        <w:rPr>
          <w:rFonts w:ascii="Times New Roman" w:hAnsi="Times New Roman"/>
          <w:b w:val="false"/>
          <w:i w:val="false"/>
          <w:color w:val="000000"/>
          <w:sz w:val="22"/>
        </w:rPr>
        <w:t xml:space="preserve">Certain facts about health care coverage and services are needed to apply these </w:t>
      </w:r>
      <w:r>
        <w:rPr>
          <w:rFonts w:ascii="Times New Roman" w:hAnsi="Times New Roman"/>
          <w:b/>
          <w:i w:val="false"/>
          <w:color w:val="000000"/>
          <w:sz w:val="22"/>
        </w:rPr>
        <w:t>COB</w:t>
      </w:r>
      <w:r>
        <w:rPr>
          <w:rFonts w:ascii="Times New Roman" w:hAnsi="Times New Roman"/>
          <w:b w:val="false"/>
          <w:i w:val="false"/>
          <w:color w:val="000000"/>
          <w:sz w:val="22"/>
        </w:rPr>
        <w:t xml:space="preserve"> rules and to determine benefits payable under </w:t>
      </w:r>
      <w:r>
        <w:rPr>
          <w:rFonts w:ascii="Times New Roman" w:hAnsi="Times New Roman"/>
          <w:b/>
          <w:i w:val="false"/>
          <w:color w:val="000000"/>
          <w:sz w:val="22"/>
        </w:rPr>
        <w:t>This plan</w:t>
      </w:r>
      <w:r>
        <w:rPr>
          <w:rFonts w:ascii="Times New Roman" w:hAnsi="Times New Roman"/>
          <w:b w:val="false"/>
          <w:i w:val="false"/>
          <w:color w:val="000000"/>
          <w:sz w:val="22"/>
        </w:rPr>
        <w:t xml:space="preserve"> and other </w:t>
      </w:r>
      <w:r>
        <w:rPr>
          <w:rFonts w:ascii="Times New Roman" w:hAnsi="Times New Roman"/>
          <w:b/>
          <w:i w:val="false"/>
          <w:color w:val="000000"/>
          <w:sz w:val="22"/>
        </w:rPr>
        <w:t>Plans</w:t>
      </w:r>
      <w:r>
        <w:rPr>
          <w:rFonts w:ascii="Times New Roman" w:hAnsi="Times New Roman"/>
          <w:b w:val="false"/>
          <w:i w:val="false"/>
          <w:color w:val="000000"/>
          <w:sz w:val="22"/>
        </w:rPr>
        <w:t xml:space="preserve">. [Organization responsibility for </w:t>
      </w:r>
      <w:r>
        <w:rPr>
          <w:rFonts w:ascii="Times New Roman" w:hAnsi="Times New Roman"/>
          <w:b/>
          <w:i w:val="false"/>
          <w:color w:val="000000"/>
          <w:sz w:val="22"/>
        </w:rPr>
        <w:t>COB</w:t>
      </w:r>
      <w:r>
        <w:rPr>
          <w:rFonts w:ascii="Times New Roman" w:hAnsi="Times New Roman"/>
          <w:b w:val="false"/>
          <w:i w:val="false"/>
          <w:color w:val="000000"/>
          <w:sz w:val="22"/>
        </w:rPr>
        <w:t xml:space="preserve"> administration] may get the facts it needs from or give them to other organizations or persons for the purpose of applying these rules and determining benefits payable under </w:t>
      </w:r>
      <w:r>
        <w:rPr>
          <w:rFonts w:ascii="Times New Roman" w:hAnsi="Times New Roman"/>
          <w:b/>
          <w:i w:val="false"/>
          <w:color w:val="000000"/>
          <w:sz w:val="22"/>
        </w:rPr>
        <w:t>This plan</w:t>
      </w:r>
      <w:r>
        <w:rPr>
          <w:rFonts w:ascii="Times New Roman" w:hAnsi="Times New Roman"/>
          <w:b w:val="false"/>
          <w:i w:val="false"/>
          <w:color w:val="000000"/>
          <w:sz w:val="22"/>
        </w:rPr>
        <w:t xml:space="preserve"> and other </w:t>
      </w:r>
      <w:r>
        <w:rPr>
          <w:rFonts w:ascii="Times New Roman" w:hAnsi="Times New Roman"/>
          <w:b/>
          <w:i w:val="false"/>
          <w:color w:val="000000"/>
          <w:sz w:val="22"/>
        </w:rPr>
        <w:t>Plans</w:t>
      </w:r>
      <w:r>
        <w:rPr>
          <w:rFonts w:ascii="Times New Roman" w:hAnsi="Times New Roman"/>
          <w:b w:val="false"/>
          <w:i w:val="false"/>
          <w:color w:val="000000"/>
          <w:sz w:val="22"/>
        </w:rPr>
        <w:t xml:space="preserve"> covering the person claiming benefits. [Organization responsibility for </w:t>
      </w:r>
      <w:r>
        <w:rPr>
          <w:rFonts w:ascii="Times New Roman" w:hAnsi="Times New Roman"/>
          <w:b/>
          <w:i w:val="false"/>
          <w:color w:val="000000"/>
          <w:sz w:val="22"/>
        </w:rPr>
        <w:t>COB</w:t>
      </w:r>
      <w:r>
        <w:rPr>
          <w:rFonts w:ascii="Times New Roman" w:hAnsi="Times New Roman"/>
          <w:b w:val="false"/>
          <w:i w:val="false"/>
          <w:color w:val="000000"/>
          <w:sz w:val="22"/>
        </w:rPr>
        <w:t xml:space="preserve"> administration] need not tell, or get the consent of, any person to do this. Each person claiming benefits under </w:t>
      </w:r>
      <w:r>
        <w:rPr>
          <w:rFonts w:ascii="Times New Roman" w:hAnsi="Times New Roman"/>
          <w:b/>
          <w:i w:val="false"/>
          <w:color w:val="000000"/>
          <w:sz w:val="22"/>
        </w:rPr>
        <w:t>This plan</w:t>
      </w:r>
      <w:r>
        <w:rPr>
          <w:rFonts w:ascii="Times New Roman" w:hAnsi="Times New Roman"/>
          <w:b w:val="false"/>
          <w:i w:val="false"/>
          <w:color w:val="000000"/>
          <w:sz w:val="22"/>
        </w:rPr>
        <w:t xml:space="preserve"> must give [Organization responsibility for </w:t>
      </w:r>
      <w:r>
        <w:rPr>
          <w:rFonts w:ascii="Times New Roman" w:hAnsi="Times New Roman"/>
          <w:b/>
          <w:i w:val="false"/>
          <w:color w:val="000000"/>
          <w:sz w:val="22"/>
        </w:rPr>
        <w:t>COB</w:t>
      </w:r>
      <w:r>
        <w:rPr>
          <w:rFonts w:ascii="Times New Roman" w:hAnsi="Times New Roman"/>
          <w:b w:val="false"/>
          <w:i w:val="false"/>
          <w:color w:val="000000"/>
          <w:sz w:val="22"/>
        </w:rPr>
        <w:t xml:space="preserve"> administration] any facts it needs to apply those rules and determine benefits payable.</w:t>
      </w:r>
    </w:p>
    <w:p>
      <w:pPr>
        <w:spacing w:before="0" w:after="0"/>
        <w:ind w:left="120"/>
        <w:jc w:val="both"/>
      </w:pPr>
      <w:r>
        <w:rPr>
          <w:rFonts w:ascii="Times New Roman" w:hAnsi="Times New Roman"/>
          <w:b/>
          <w:i w:val="false"/>
          <w:color w:val="000000"/>
          <w:sz w:val="22"/>
        </w:rPr>
        <w:t>FACILITY OF PAYMENT</w:t>
      </w:r>
    </w:p>
    <w:p>
      <w:pPr>
        <w:spacing w:before="0" w:after="0"/>
        <w:ind w:left="120"/>
        <w:jc w:val="both"/>
      </w:pPr>
      <w:r>
        <w:rPr>
          <w:rFonts w:ascii="Times New Roman" w:hAnsi="Times New Roman"/>
          <w:b w:val="false"/>
          <w:i w:val="false"/>
          <w:color w:val="000000"/>
          <w:sz w:val="22"/>
        </w:rPr>
        <w:t xml:space="preserve">A payment made under another </w:t>
      </w:r>
      <w:r>
        <w:rPr>
          <w:rFonts w:ascii="Times New Roman" w:hAnsi="Times New Roman"/>
          <w:b/>
          <w:i w:val="false"/>
          <w:color w:val="000000"/>
          <w:sz w:val="22"/>
        </w:rPr>
        <w:t>Plan</w:t>
      </w:r>
      <w:r>
        <w:rPr>
          <w:rFonts w:ascii="Times New Roman" w:hAnsi="Times New Roman"/>
          <w:b w:val="false"/>
          <w:i w:val="false"/>
          <w:color w:val="000000"/>
          <w:sz w:val="22"/>
        </w:rPr>
        <w:t xml:space="preserve"> may include an amount that should have been paid under </w:t>
      </w:r>
      <w:r>
        <w:rPr>
          <w:rFonts w:ascii="Times New Roman" w:hAnsi="Times New Roman"/>
          <w:b/>
          <w:i w:val="false"/>
          <w:color w:val="000000"/>
          <w:sz w:val="22"/>
        </w:rPr>
        <w:t>This plan</w:t>
      </w:r>
      <w:r>
        <w:rPr>
          <w:rFonts w:ascii="Times New Roman" w:hAnsi="Times New Roman"/>
          <w:b w:val="false"/>
          <w:i w:val="false"/>
          <w:color w:val="000000"/>
          <w:sz w:val="22"/>
        </w:rPr>
        <w:t xml:space="preserve">. If it does, [Organization responsibility for </w:t>
      </w:r>
      <w:r>
        <w:rPr>
          <w:rFonts w:ascii="Times New Roman" w:hAnsi="Times New Roman"/>
          <w:b/>
          <w:i w:val="false"/>
          <w:color w:val="000000"/>
          <w:sz w:val="22"/>
        </w:rPr>
        <w:t>COB</w:t>
      </w:r>
      <w:r>
        <w:rPr>
          <w:rFonts w:ascii="Times New Roman" w:hAnsi="Times New Roman"/>
          <w:b w:val="false"/>
          <w:i w:val="false"/>
          <w:color w:val="000000"/>
          <w:sz w:val="22"/>
        </w:rPr>
        <w:t xml:space="preserve"> administration] may pay that amount to the organization that made that payment. That amount will then be treated as though it were a benefit paid under </w:t>
      </w:r>
      <w:r>
        <w:rPr>
          <w:rFonts w:ascii="Times New Roman" w:hAnsi="Times New Roman"/>
          <w:b/>
          <w:i w:val="false"/>
          <w:color w:val="000000"/>
          <w:sz w:val="22"/>
        </w:rPr>
        <w:t>This plan</w:t>
      </w:r>
      <w:r>
        <w:rPr>
          <w:rFonts w:ascii="Times New Roman" w:hAnsi="Times New Roman"/>
          <w:b w:val="false"/>
          <w:i w:val="false"/>
          <w:color w:val="000000"/>
          <w:sz w:val="22"/>
        </w:rPr>
        <w:t xml:space="preserve">. [Organization responsibility for </w:t>
      </w:r>
      <w:r>
        <w:rPr>
          <w:rFonts w:ascii="Times New Roman" w:hAnsi="Times New Roman"/>
          <w:b/>
          <w:i w:val="false"/>
          <w:color w:val="000000"/>
          <w:sz w:val="22"/>
        </w:rPr>
        <w:t xml:space="preserve">COB </w:t>
      </w:r>
      <w:r>
        <w:rPr>
          <w:rFonts w:ascii="Times New Roman" w:hAnsi="Times New Roman"/>
          <w:b w:val="false"/>
          <w:i w:val="false"/>
          <w:color w:val="000000"/>
          <w:sz w:val="22"/>
        </w:rPr>
        <w:t>administration] will not have to pay that amount again. The term “payment made” includes providing benefits in the form of services, in which case “payment made” means the reasonable cash value of the benefits provided in the form of services.</w:t>
      </w:r>
    </w:p>
    <w:p>
      <w:pPr>
        <w:spacing w:before="0" w:after="0"/>
        <w:ind w:left="120"/>
        <w:jc w:val="both"/>
      </w:pPr>
      <w:r>
        <w:rPr>
          <w:rFonts w:ascii="Times New Roman" w:hAnsi="Times New Roman"/>
          <w:b/>
          <w:i w:val="false"/>
          <w:color w:val="000000"/>
          <w:sz w:val="22"/>
        </w:rPr>
        <w:t>RIGHT OF RECOVERY</w:t>
      </w:r>
    </w:p>
    <w:p>
      <w:pPr>
        <w:spacing w:before="0" w:after="0"/>
        <w:ind w:left="120"/>
        <w:jc w:val="both"/>
      </w:pPr>
      <w:r>
        <w:rPr>
          <w:rFonts w:ascii="Times New Roman" w:hAnsi="Times New Roman"/>
          <w:b w:val="false"/>
          <w:i w:val="false"/>
          <w:color w:val="000000"/>
          <w:sz w:val="22"/>
        </w:rPr>
        <w:t xml:space="preserve">If the amount of the payments made by [Organization responsibility for </w:t>
      </w:r>
      <w:r>
        <w:rPr>
          <w:rFonts w:ascii="Times New Roman" w:hAnsi="Times New Roman"/>
          <w:b/>
          <w:i w:val="false"/>
          <w:color w:val="000000"/>
          <w:sz w:val="22"/>
        </w:rPr>
        <w:t>COB</w:t>
      </w:r>
      <w:r>
        <w:rPr>
          <w:rFonts w:ascii="Times New Roman" w:hAnsi="Times New Roman"/>
          <w:b w:val="false"/>
          <w:i w:val="false"/>
          <w:color w:val="000000"/>
          <w:sz w:val="22"/>
        </w:rPr>
        <w:t xml:space="preserve"> administration] is more than it should have paid under this </w:t>
      </w:r>
      <w:r>
        <w:rPr>
          <w:rFonts w:ascii="Times New Roman" w:hAnsi="Times New Roman"/>
          <w:b/>
          <w:i w:val="false"/>
          <w:color w:val="000000"/>
          <w:sz w:val="22"/>
        </w:rPr>
        <w:t>COB</w:t>
      </w:r>
      <w:r>
        <w:rPr>
          <w:rFonts w:ascii="Times New Roman" w:hAnsi="Times New Roman"/>
          <w:b w:val="false"/>
          <w:i w:val="false"/>
          <w:color w:val="000000"/>
          <w:sz w:val="22"/>
        </w:rPr>
        <w:t xml:space="preserve"> provision, it may recover the excess from one or more of the persons it has paid or for whom it has paid; or any other person or organization that may be responsible for the benefits or services provided for the covered person. The “amount of the payments made” includes the reasonable cash value of any benefits provided in the form of services.</w:t>
      </w:r>
    </w:p>
    <w:p>
      <w:pPr>
        <w:spacing w:before="0" w:after="0"/>
        <w:ind w:left="120"/>
        <w:jc w:val="center"/>
      </w:pPr>
      <w:r>
        <w:rPr>
          <w:rFonts w:ascii="Times New Roman" w:hAnsi="Times New Roman"/>
          <w:b/>
          <w:i w:val="false"/>
          <w:color w:val="000000"/>
          <w:sz w:val="22"/>
        </w:rPr>
        <w:t>APPENDIX B    CONSUMER EXPLANATORY BOOKLET</w:t>
      </w:r>
    </w:p>
    <w:p>
      <w:pPr>
        <w:spacing w:before="60" w:after="0"/>
        <w:ind w:left="120"/>
        <w:jc w:val="center"/>
      </w:pPr>
      <w:r>
        <w:rPr>
          <w:rFonts w:ascii="Times New Roman" w:hAnsi="Times New Roman"/>
          <w:b/>
          <w:i w:val="false"/>
          <w:color w:val="000000"/>
          <w:sz w:val="22"/>
        </w:rPr>
        <w:t>COORDINATION OF BENEFITS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24"/>
        <w:gridCol w:w="7566"/>
      </w:tblGrid>
      <w:tr>
        <w:trPr>
          <w:trHeight w:val="270"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IMPORTANT NOTICE</w:t>
            </w:r>
          </w:p>
        </w:tc>
      </w:tr>
      <w:tr>
        <w:trPr>
          <w:trHeight w:val="960" w:hRule="atLeast"/>
        </w:trPr>
        <w:tc>
          <w:tcPr>
            <w:tcW w:w="0" w:type="auto"/>
            <w:gridSpan w:val="2"/>
            <w:tcBorders/>
            <w:tcMar>
              <w:top w:w="30" w:type="dxa"/>
              <w:left w:w="30" w:type="dxa"/>
              <w:bottom w:w="15" w:type="dxa"/>
              <w:right w:w="30" w:type="dxa"/>
            </w:tcMar>
            <w:vAlign w:val="top"/>
          </w:tcPr>
          <w:p>
            <w:pPr>
              <w:spacing w:before="0" w:after="0"/>
              <w:ind w:left="376"/>
              <w:jc w:val="both"/>
            </w:pPr>
            <w:r>
              <w:rPr>
                <w:rFonts w:ascii="Times New Roman" w:hAnsi="Times New Roman"/>
                <w:b/>
                <w:i w:val="false"/>
                <w:color w:val="000000"/>
                <w:sz w:val="20"/>
              </w:rPr>
              <w:t>This is a summary of only a few of the provisions of your health plan to help you understand coordination of benefits, which can be very complicated. This is not a complete description of all of the coordination rules and procedures, and does not change or replace the language contained in your insurance contract, which determines your benefits</w:t>
            </w:r>
            <w:r>
              <w:rPr>
                <w:rFonts w:ascii="Times New Roman" w:hAnsi="Times New Roman"/>
                <w:b w:val="false"/>
                <w:i w:val="false"/>
                <w:color w:val="000000"/>
                <w:sz w:val="20"/>
              </w:rPr>
              <w:t>.</w:t>
            </w:r>
          </w:p>
        </w:tc>
      </w:tr>
    </w:tbl>
    <w:p>
      <w:pPr>
        <w:spacing w:before="0" w:after="0"/>
        <w:ind w:left="120"/>
        <w:jc w:val="center"/>
      </w:pPr>
      <w:r>
        <w:rPr>
          <w:rFonts w:ascii="Times New Roman" w:hAnsi="Times New Roman"/>
          <w:b/>
          <w:i w:val="false"/>
          <w:color w:val="000000"/>
          <w:sz w:val="22"/>
        </w:rPr>
        <w:t>Double Coverage</w:t>
      </w:r>
    </w:p>
    <w:p>
      <w:pPr>
        <w:spacing w:before="0" w:after="0"/>
        <w:ind w:left="120"/>
        <w:jc w:val="both"/>
      </w:pPr>
      <w:r>
        <w:rPr>
          <w:rFonts w:ascii="Times New Roman" w:hAnsi="Times New Roman"/>
          <w:b w:val="false"/>
          <w:i w:val="false"/>
          <w:color w:val="000000"/>
          <w:sz w:val="22"/>
        </w:rPr>
        <w:t>It is common for family members to be covered by more than one health care plan. This happens, for example, when a husband and wife both work and choose to have family coverage through both employers.</w:t>
      </w:r>
    </w:p>
    <w:p>
      <w:pPr>
        <w:spacing w:before="0" w:after="0"/>
        <w:ind w:left="120"/>
        <w:jc w:val="both"/>
      </w:pPr>
      <w:r>
        <w:rPr>
          <w:rFonts w:ascii="Times New Roman" w:hAnsi="Times New Roman"/>
          <w:b w:val="false"/>
          <w:i w:val="false"/>
          <w:color w:val="000000"/>
          <w:sz w:val="22"/>
        </w:rPr>
        <w:t>When you are covered by more than one health plan, state law permits your insurers to follow a procedure called “coordination of benefits” to determine how much each should pay when you have a claim. The goal is to make sure that the combined payments of all plans do not add up to more than your covered health care expenses.</w:t>
      </w:r>
    </w:p>
    <w:p>
      <w:pPr>
        <w:spacing w:before="0" w:after="0"/>
        <w:ind w:left="120"/>
        <w:jc w:val="both"/>
      </w:pPr>
      <w:r>
        <w:rPr>
          <w:rFonts w:ascii="Times New Roman" w:hAnsi="Times New Roman"/>
          <w:b w:val="false"/>
          <w:i w:val="false"/>
          <w:color w:val="000000"/>
          <w:sz w:val="22"/>
        </w:rPr>
        <w:t>Coordination of benefits (COB) is complicated, and covers a wide variety of circumstances. This is only an outline of some of the most common ones. If your situation is not described, read your evidence of coverage or contact your state insurance department.</w:t>
      </w:r>
    </w:p>
    <w:p>
      <w:pPr>
        <w:spacing w:before="0" w:after="0"/>
        <w:ind w:left="120"/>
        <w:jc w:val="center"/>
      </w:pPr>
      <w:r>
        <w:rPr>
          <w:rFonts w:ascii="Times New Roman" w:hAnsi="Times New Roman"/>
          <w:b/>
          <w:i w:val="false"/>
          <w:color w:val="000000"/>
          <w:sz w:val="22"/>
        </w:rPr>
        <w:t>Primary or Secondary?</w:t>
      </w:r>
    </w:p>
    <w:p>
      <w:pPr>
        <w:spacing w:before="0" w:after="0"/>
        <w:ind w:left="120"/>
        <w:jc w:val="both"/>
      </w:pPr>
      <w:r>
        <w:rPr>
          <w:rFonts w:ascii="Times New Roman" w:hAnsi="Times New Roman"/>
          <w:b w:val="false"/>
          <w:i w:val="false"/>
          <w:color w:val="000000"/>
          <w:sz w:val="22"/>
        </w:rPr>
        <w:t>You will be asked to identify all the plans that cover members of your family. We need this information to determine whether we are the “primary” or “secondary” benefit payer. The primary plan always pays first when you have a claim.</w:t>
      </w:r>
    </w:p>
    <w:p>
      <w:pPr>
        <w:spacing w:before="0" w:after="0"/>
        <w:ind w:left="120"/>
        <w:jc w:val="both"/>
      </w:pPr>
      <w:r>
        <w:rPr>
          <w:rFonts w:ascii="Times New Roman" w:hAnsi="Times New Roman"/>
          <w:b w:val="false"/>
          <w:i w:val="false"/>
          <w:color w:val="000000"/>
          <w:sz w:val="22"/>
        </w:rPr>
        <w:t>Any plan that does not contain your state’s COB rules will always be primary.</w:t>
      </w:r>
    </w:p>
    <w:p>
      <w:pPr>
        <w:spacing w:before="0" w:after="0"/>
        <w:ind w:left="120"/>
        <w:jc w:val="center"/>
      </w:pPr>
      <w:r>
        <w:rPr>
          <w:rFonts w:ascii="Times New Roman" w:hAnsi="Times New Roman"/>
          <w:b/>
          <w:i w:val="false"/>
          <w:color w:val="000000"/>
          <w:sz w:val="22"/>
        </w:rPr>
        <w:t>When This Plan Is Primary</w:t>
      </w:r>
    </w:p>
    <w:p>
      <w:pPr>
        <w:spacing w:before="0" w:after="0"/>
        <w:ind w:left="120"/>
        <w:jc w:val="both"/>
      </w:pPr>
      <w:r>
        <w:rPr>
          <w:rFonts w:ascii="Times New Roman" w:hAnsi="Times New Roman"/>
          <w:b w:val="false"/>
          <w:i w:val="false"/>
          <w:color w:val="000000"/>
          <w:sz w:val="22"/>
        </w:rPr>
        <w:t>If you or a family member are covered under another plan in addition to this one, we will be primary when:</w:t>
      </w:r>
    </w:p>
    <w:p>
      <w:pPr>
        <w:spacing w:before="0" w:after="0"/>
        <w:ind w:left="120"/>
        <w:jc w:val="both"/>
      </w:pPr>
      <w:r>
        <w:rPr>
          <w:rFonts w:ascii="Times New Roman" w:hAnsi="Times New Roman"/>
          <w:b/>
          <w:i w:val="false"/>
          <w:color w:val="000000"/>
          <w:sz w:val="22"/>
        </w:rPr>
        <w:t>Your Own Expenses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The claim is for your own health care expenses, unless you are covered by Medicare and both you and your spouse are retired.</w:t>
      </w:r>
    </w:p>
    <w:p>
      <w:pPr>
        <w:spacing w:before="0" w:after="0"/>
        <w:ind w:left="120"/>
        <w:jc w:val="both"/>
      </w:pPr>
      <w:r>
        <w:rPr>
          <w:rFonts w:ascii="Times New Roman" w:hAnsi="Times New Roman"/>
          <w:b/>
          <w:i w:val="false"/>
          <w:color w:val="000000"/>
          <w:sz w:val="22"/>
        </w:rPr>
        <w:t>Your Spouse’s Expenses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The claim is for your spouse, who is covered by Medicare, and you are not both retired.</w:t>
      </w:r>
    </w:p>
    <w:p>
      <w:pPr>
        <w:spacing w:before="0" w:after="0"/>
        <w:ind w:left="120"/>
        <w:jc w:val="both"/>
      </w:pPr>
      <w:r>
        <w:rPr>
          <w:rFonts w:ascii="Times New Roman" w:hAnsi="Times New Roman"/>
          <w:b/>
          <w:i w:val="false"/>
          <w:color w:val="000000"/>
          <w:sz w:val="22"/>
        </w:rPr>
        <w:t>Your Child’s Expenses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claim is for the health care expenses of your child who is covered by this plan and</w:t>
      </w:r>
    </w:p>
    <w:p>
      <w:pPr>
        <w:spacing w:before="0" w:after="0"/>
        <w:ind w:left="56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You are married and your birthday is earlier in the year than your spouse’s or you are living </w:t>
      </w:r>
    </w:p>
    <w:p>
      <w:pPr>
        <w:spacing w:before="0" w:after="0"/>
        <w:ind w:left="720"/>
        <w:jc w:val="both"/>
      </w:pPr>
      <w:r>
        <w:rPr>
          <w:rFonts w:ascii="Times New Roman" w:hAnsi="Times New Roman"/>
          <w:b w:val="false"/>
          <w:i w:val="false"/>
          <w:color w:val="000000"/>
          <w:sz w:val="22"/>
        </w:rPr>
        <w:t>with another individual, regardless of whether or not you have ever been married to that</w:t>
      </w:r>
    </w:p>
    <w:p>
      <w:pPr>
        <w:spacing w:before="0" w:after="0"/>
        <w:ind w:left="720"/>
        <w:jc w:val="both"/>
      </w:pPr>
      <w:r>
        <w:rPr>
          <w:rFonts w:ascii="Times New Roman" w:hAnsi="Times New Roman"/>
          <w:b w:val="false"/>
          <w:i w:val="false"/>
          <w:color w:val="000000"/>
          <w:sz w:val="22"/>
        </w:rPr>
        <w:t>individual, and your birthday is earlier than that other individual’s birthday. This is known</w:t>
      </w:r>
    </w:p>
    <w:p>
      <w:pPr>
        <w:spacing w:before="0" w:after="0"/>
        <w:ind w:left="720"/>
        <w:jc w:val="both"/>
      </w:pPr>
      <w:r>
        <w:rPr>
          <w:rFonts w:ascii="Times New Roman" w:hAnsi="Times New Roman"/>
          <w:b w:val="false"/>
          <w:i w:val="false"/>
          <w:color w:val="000000"/>
          <w:sz w:val="22"/>
        </w:rPr>
        <w:t>as the “birthday rule”;</w:t>
      </w:r>
    </w:p>
    <w:p>
      <w:pPr>
        <w:spacing w:before="0" w:after="0"/>
        <w:ind w:left="120"/>
        <w:jc w:val="center"/>
      </w:pPr>
      <w:r>
        <w:rPr>
          <w:rFonts w:ascii="Times New Roman" w:hAnsi="Times New Roman"/>
          <w:b w:val="false"/>
          <w:i w:val="false"/>
          <w:color w:val="000000"/>
          <w:sz w:val="22"/>
        </w:rPr>
        <w:t>or</w:t>
      </w:r>
    </w:p>
    <w:p>
      <w:pPr>
        <w:spacing w:before="0" w:after="0"/>
        <w:ind w:left="56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You are separated or divorced and you have informed us of a court decree that makes you </w:t>
      </w:r>
    </w:p>
    <w:p>
      <w:pPr>
        <w:spacing w:before="0" w:after="0"/>
        <w:ind w:left="720"/>
        <w:jc w:val="both"/>
      </w:pPr>
      <w:r>
        <w:rPr>
          <w:rFonts w:ascii="Times New Roman" w:hAnsi="Times New Roman"/>
          <w:b w:val="false"/>
          <w:i w:val="false"/>
          <w:color w:val="000000"/>
          <w:sz w:val="22"/>
        </w:rPr>
        <w:t>responsible for the child’s health care expenses;</w:t>
      </w:r>
    </w:p>
    <w:p>
      <w:pPr>
        <w:spacing w:before="0" w:after="0"/>
        <w:ind w:left="120"/>
        <w:jc w:val="center"/>
      </w:pPr>
      <w:r>
        <w:rPr>
          <w:rFonts w:ascii="Times New Roman" w:hAnsi="Times New Roman"/>
          <w:b w:val="false"/>
          <w:i w:val="false"/>
          <w:color w:val="000000"/>
          <w:sz w:val="22"/>
        </w:rPr>
        <w:t>or</w:t>
      </w:r>
    </w:p>
    <w:p>
      <w:pPr>
        <w:spacing w:before="0" w:after="0"/>
        <w:ind w:left="56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There is no court decree, but you have custody of the child.</w:t>
      </w:r>
    </w:p>
    <w:p>
      <w:pPr>
        <w:spacing w:before="0" w:after="0"/>
        <w:ind w:left="120"/>
        <w:jc w:val="both"/>
      </w:pPr>
      <w:r>
        <w:rPr>
          <w:rFonts w:ascii="Times New Roman" w:hAnsi="Times New Roman"/>
          <w:b/>
          <w:i w:val="false"/>
          <w:color w:val="000000"/>
          <w:sz w:val="22"/>
        </w:rPr>
        <w:t>Other Situations</w:t>
      </w:r>
    </w:p>
    <w:p>
      <w:pPr>
        <w:spacing w:before="0" w:after="0"/>
        <w:ind w:left="120"/>
        <w:jc w:val="both"/>
      </w:pPr>
      <w:r>
        <w:rPr>
          <w:rFonts w:ascii="Times New Roman" w:hAnsi="Times New Roman"/>
          <w:b w:val="false"/>
          <w:i w:val="false"/>
          <w:color w:val="000000"/>
          <w:sz w:val="22"/>
        </w:rPr>
        <w:t>We will be primary when any other provisions of state or federal law require us to be.</w:t>
      </w:r>
    </w:p>
    <w:p>
      <w:pPr>
        <w:spacing w:before="0" w:after="0"/>
        <w:ind w:left="120"/>
        <w:jc w:val="center"/>
      </w:pPr>
      <w:r>
        <w:rPr>
          <w:rFonts w:ascii="Times New Roman" w:hAnsi="Times New Roman"/>
          <w:b/>
          <w:i w:val="false"/>
          <w:color w:val="000000"/>
          <w:sz w:val="22"/>
        </w:rPr>
        <w:t>How We Pay Claims When We Are Primary</w:t>
      </w:r>
    </w:p>
    <w:p>
      <w:pPr>
        <w:spacing w:before="0" w:after="0"/>
        <w:ind w:left="120"/>
        <w:jc w:val="both"/>
      </w:pPr>
      <w:r>
        <w:rPr>
          <w:rFonts w:ascii="Times New Roman" w:hAnsi="Times New Roman"/>
          <w:b w:val="false"/>
          <w:i w:val="false"/>
          <w:color w:val="000000"/>
          <w:sz w:val="22"/>
        </w:rPr>
        <w:t>When we are the primary plan, we will pay the benefits in accordance with the terms of your contract, just as if you had no other health care coverage under any other plan.</w:t>
      </w:r>
    </w:p>
    <w:p>
      <w:pPr>
        <w:spacing w:before="0" w:after="0"/>
        <w:ind w:left="120"/>
        <w:jc w:val="center"/>
      </w:pPr>
      <w:r>
        <w:rPr>
          <w:rFonts w:ascii="Times New Roman" w:hAnsi="Times New Roman"/>
          <w:b/>
          <w:i w:val="false"/>
          <w:color w:val="000000"/>
          <w:sz w:val="22"/>
        </w:rPr>
        <w:t>How We Pay Claims When We Are Secondary</w:t>
      </w:r>
    </w:p>
    <w:p>
      <w:pPr>
        <w:spacing w:before="0" w:after="0"/>
        <w:ind w:left="120"/>
        <w:jc w:val="both"/>
      </w:pPr>
      <w:r>
        <w:rPr>
          <w:rFonts w:ascii="Times New Roman" w:hAnsi="Times New Roman"/>
          <w:b w:val="false"/>
          <w:i w:val="false"/>
          <w:color w:val="000000"/>
          <w:sz w:val="22"/>
        </w:rPr>
        <w:t>We will be secondary whenever the rules do not require us to be primary.</w:t>
      </w:r>
    </w:p>
    <w:p>
      <w:pPr>
        <w:spacing w:before="0" w:after="0"/>
        <w:ind w:left="120"/>
        <w:jc w:val="center"/>
      </w:pPr>
      <w:r>
        <w:rPr>
          <w:rFonts w:ascii="Times New Roman" w:hAnsi="Times New Roman"/>
          <w:b/>
          <w:i w:val="false"/>
          <w:color w:val="000000"/>
          <w:sz w:val="22"/>
        </w:rPr>
        <w:t>How We Pay Claims When We Are Secondary</w:t>
      </w:r>
    </w:p>
    <w:p>
      <w:pPr>
        <w:spacing w:before="0" w:after="0"/>
        <w:ind w:left="120"/>
        <w:jc w:val="both"/>
      </w:pPr>
      <w:r>
        <w:rPr>
          <w:rFonts w:ascii="Times New Roman" w:hAnsi="Times New Roman"/>
          <w:b w:val="false"/>
          <w:i w:val="false"/>
          <w:color w:val="000000"/>
          <w:sz w:val="22"/>
        </w:rPr>
        <w:t>When we are the secondary plan, we do not pay until after the primary plan has paid its benefits. We will then pay part or all of the allowable expenses left unpaid, as explained below. An “allowable expense” is a health care expense covered by one of the plans, including copayments, coinsurance and deductibles.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there is a difference between the amount the plans allow, we will base our payment on</w:t>
      </w:r>
    </w:p>
    <w:p>
      <w:pPr>
        <w:spacing w:before="0" w:after="0"/>
        <w:ind w:left="320"/>
        <w:jc w:val="both"/>
      </w:pPr>
      <w:r>
        <w:rPr>
          <w:rFonts w:ascii="Times New Roman" w:hAnsi="Times New Roman"/>
          <w:b w:val="false"/>
          <w:i w:val="false"/>
          <w:color w:val="000000"/>
          <w:sz w:val="22"/>
        </w:rPr>
        <w:t xml:space="preserve"> the higher amount. However, if the primary plan has a contract with the provider, our combined </w:t>
      </w:r>
    </w:p>
    <w:p>
      <w:pPr>
        <w:spacing w:before="0" w:after="0"/>
        <w:ind w:left="320"/>
        <w:jc w:val="both"/>
      </w:pPr>
      <w:r>
        <w:rPr>
          <w:rFonts w:ascii="Times New Roman" w:hAnsi="Times New Roman"/>
          <w:b w:val="false"/>
          <w:i w:val="false"/>
          <w:color w:val="000000"/>
          <w:sz w:val="22"/>
        </w:rPr>
        <w:t xml:space="preserve">payments will not be more than the amount called for in our contract or the amount called for in </w:t>
      </w:r>
    </w:p>
    <w:p>
      <w:pPr>
        <w:spacing w:before="0" w:after="0"/>
        <w:ind w:left="320"/>
        <w:jc w:val="both"/>
      </w:pPr>
      <w:r>
        <w:rPr>
          <w:rFonts w:ascii="Times New Roman" w:hAnsi="Times New Roman"/>
          <w:b w:val="false"/>
          <w:i w:val="false"/>
          <w:color w:val="000000"/>
          <w:sz w:val="22"/>
        </w:rPr>
        <w:t xml:space="preserve">the contract of the primary plan, whichever is higher. Health maintenance organizations (HMOs) </w:t>
      </w:r>
    </w:p>
    <w:p>
      <w:pPr>
        <w:spacing w:before="0" w:after="0"/>
        <w:ind w:left="320"/>
        <w:jc w:val="both"/>
      </w:pPr>
      <w:r>
        <w:rPr>
          <w:rFonts w:ascii="Times New Roman" w:hAnsi="Times New Roman"/>
          <w:b w:val="false"/>
          <w:i w:val="false"/>
          <w:color w:val="000000"/>
          <w:sz w:val="22"/>
        </w:rPr>
        <w:t>and preferred provider organizations (PPOs) usually have contracts with their providers.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We will determine our payment by subtracting the amount the primary plan paid from the</w:t>
      </w:r>
    </w:p>
    <w:p>
      <w:pPr>
        <w:spacing w:before="0" w:after="0"/>
        <w:ind w:left="320"/>
        <w:jc w:val="both"/>
      </w:pPr>
      <w:r>
        <w:rPr>
          <w:rFonts w:ascii="Times New Roman" w:hAnsi="Times New Roman"/>
          <w:b w:val="false"/>
          <w:i w:val="false"/>
          <w:color w:val="000000"/>
          <w:sz w:val="22"/>
        </w:rPr>
        <w:t>amount we would have paid if we had been primary. We may reduce our payment by any</w:t>
      </w:r>
    </w:p>
    <w:p>
      <w:pPr>
        <w:spacing w:before="0" w:after="0"/>
        <w:ind w:left="320"/>
        <w:jc w:val="both"/>
      </w:pPr>
      <w:r>
        <w:rPr>
          <w:rFonts w:ascii="Times New Roman" w:hAnsi="Times New Roman"/>
          <w:b w:val="false"/>
          <w:i w:val="false"/>
          <w:color w:val="000000"/>
          <w:sz w:val="22"/>
        </w:rPr>
        <w:t xml:space="preserve">amount so that, when combined with the amount paid by the primary plan, the total benefits paid </w:t>
      </w:r>
    </w:p>
    <w:p>
      <w:pPr>
        <w:spacing w:before="0" w:after="0"/>
        <w:ind w:left="320"/>
        <w:jc w:val="both"/>
      </w:pPr>
      <w:r>
        <w:rPr>
          <w:rFonts w:ascii="Times New Roman" w:hAnsi="Times New Roman"/>
          <w:b w:val="false"/>
          <w:i w:val="false"/>
          <w:color w:val="000000"/>
          <w:sz w:val="22"/>
        </w:rPr>
        <w:t xml:space="preserve">do not exceed the total allowable expense for your claim. We will credit any amount we would </w:t>
      </w:r>
    </w:p>
    <w:p>
      <w:pPr>
        <w:spacing w:before="0" w:after="0"/>
        <w:ind w:left="320"/>
        <w:jc w:val="both"/>
      </w:pPr>
      <w:r>
        <w:rPr>
          <w:rFonts w:ascii="Times New Roman" w:hAnsi="Times New Roman"/>
          <w:b w:val="false"/>
          <w:i w:val="false"/>
          <w:color w:val="000000"/>
          <w:sz w:val="22"/>
        </w:rPr>
        <w:t>have paid in the absence of your other health care coverage toward our own plan deductible.</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If the primary plan covers similar kinds of health care expenses, but allows expenses that we do </w:t>
      </w:r>
    </w:p>
    <w:p>
      <w:pPr>
        <w:spacing w:before="0" w:after="0"/>
        <w:ind w:left="320"/>
        <w:jc w:val="both"/>
      </w:pPr>
      <w:r>
        <w:rPr>
          <w:rFonts w:ascii="Times New Roman" w:hAnsi="Times New Roman"/>
          <w:b w:val="false"/>
          <w:i w:val="false"/>
          <w:color w:val="000000"/>
          <w:sz w:val="22"/>
        </w:rPr>
        <w:t>not cover, we may pay for those expenses.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We will not pay an amount the primary plan did not cover because you did not follow its rules</w:t>
      </w:r>
    </w:p>
    <w:p>
      <w:pPr>
        <w:spacing w:before="0" w:after="0"/>
        <w:ind w:left="320"/>
        <w:jc w:val="both"/>
      </w:pPr>
      <w:r>
        <w:rPr>
          <w:rFonts w:ascii="Times New Roman" w:hAnsi="Times New Roman"/>
          <w:b w:val="false"/>
          <w:i w:val="false"/>
          <w:color w:val="000000"/>
          <w:sz w:val="22"/>
        </w:rPr>
        <w:t xml:space="preserve">and procedures. For example, if your plan has reduced its benefit because you did not obtain </w:t>
      </w:r>
    </w:p>
    <w:p>
      <w:pPr>
        <w:spacing w:before="0" w:after="0"/>
        <w:ind w:left="320"/>
        <w:jc w:val="both"/>
      </w:pPr>
      <w:r>
        <w:rPr>
          <w:rFonts w:ascii="Times New Roman" w:hAnsi="Times New Roman"/>
          <w:b w:val="false"/>
          <w:i w:val="false"/>
          <w:color w:val="000000"/>
          <w:sz w:val="22"/>
        </w:rPr>
        <w:t>precertification, as required by that plan, we will not pay the amount of the reduction, because</w:t>
      </w:r>
    </w:p>
    <w:p>
      <w:pPr>
        <w:spacing w:before="0" w:after="0"/>
        <w:ind w:left="320"/>
        <w:jc w:val="both"/>
      </w:pPr>
      <w:r>
        <w:rPr>
          <w:rFonts w:ascii="Times New Roman" w:hAnsi="Times New Roman"/>
          <w:b w:val="false"/>
          <w:i w:val="false"/>
          <w:color w:val="000000"/>
          <w:sz w:val="22"/>
        </w:rPr>
        <w:t>it is not an allowable expense.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Questions About Coordination of Benefits?</w:t>
      </w:r>
    </w:p>
    <w:p>
      <w:pPr>
        <w:spacing w:before="0" w:after="0"/>
        <w:ind w:left="120"/>
        <w:jc w:val="center"/>
      </w:pPr>
      <w:r>
        <w:rPr>
          <w:rFonts w:ascii="Times New Roman" w:hAnsi="Times New Roman"/>
          <w:b/>
          <w:i w:val="false"/>
          <w:color w:val="000000"/>
          <w:sz w:val="22"/>
        </w:rPr>
        <w:t>Contact Your State Insurance Department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2/20/87, Notice 12/31/86—published 3/11/87, effective 4/15/87]</w:t>
      </w:r>
    </w:p>
    <w:p>
      <w:pPr>
        <w:spacing w:before="0" w:after="0"/>
        <w:ind w:left="120"/>
        <w:jc w:val="center"/>
      </w:pPr>
      <w:r>
        <w:rPr>
          <w:rFonts w:ascii="Times New Roman" w:hAnsi="Times New Roman"/>
          <w:b w:val="false"/>
          <w:i w:val="false"/>
          <w:color w:val="000000"/>
          <w:sz w:val="21"/>
        </w:rPr>
        <w:t>[Filed 11/30/05, Notice 10/12/05—published 12/21/05, effective 1/25/06]</w:t>
      </w:r>
    </w:p>
    <w:p>
      <w:pPr>
        <w:spacing w:before="0" w:after="0"/>
        <w:ind w:left="120"/>
        <w:jc w:val="center"/>
      </w:pPr>
      <w:r>
        <w:rPr>
          <w:rFonts w:ascii="Times New Roman" w:hAnsi="Times New Roman"/>
          <w:b w:val="false"/>
          <w:i w:val="false"/>
          <w:color w:val="000000"/>
          <w:sz w:val="21"/>
        </w:rPr>
        <w:t>[Filed ARC 9164B</w:t>
      </w:r>
      <w:r>
        <w:rPr>
          <w:rFonts w:ascii="Times New Roman" w:hAnsi="Times New Roman"/>
          <w:b w:val="false"/>
          <w:i w:val="false"/>
          <w:color w:val="000000"/>
          <w:sz w:val="21"/>
        </w:rPr>
        <w:t xml:space="preserve"> (Notice ARC 9006B, IAB 8/11/10)</w:t>
      </w:r>
      <w:r>
        <w:rPr>
          <w:rFonts w:ascii="Times New Roman" w:hAnsi="Times New Roman"/>
          <w:b w:val="false"/>
          <w:i w:val="false"/>
          <w:color w:val="000000"/>
          <w:sz w:val="21"/>
        </w:rPr>
        <w:t>, IAB 10/20/10, effective 11/24/10]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1.36.6.pdf" Type="http://schemas.openxmlformats.org/officeDocument/2006/relationships/hyperlink" Id="rId5"/>
    <Relationship TargetMode="External" Target="https://www.legis.iowa.gov/docs/iac/rule/191.38.14.pdf" Type="http://schemas.openxmlformats.org/officeDocument/2006/relationships/hyperlink" Id="rId6"/>
    <Relationship TargetMode="External" Target="https://www.legis.iowa.gov/docs/iac/rule/191.38.14.pdf" Type="http://schemas.openxmlformats.org/officeDocument/2006/relationships/hyperlink" Id="rId7"/>
    <Relationship TargetMode="External" Target="https://www.legis.iowa.gov/docs/iac/rule/191.38.15.pdf" Type="http://schemas.openxmlformats.org/officeDocument/2006/relationships/hyperlink" Id="rId8"/>
    <Relationship TargetMode="External" Target="https://www.legis.iowa.gov/docs/iac/rule/191.38.16.pdf" Type="http://schemas.openxmlformats.org/officeDocument/2006/relationships/hyperlink" Id="rId9"/>
    <Relationship TargetMode="External" Target="https://www.legis.iowa.gov/docs/iac/rule/191.38.13.pdf" Type="http://schemas.openxmlformats.org/officeDocument/2006/relationships/hyperlink" Id="rId10"/>
    <Relationship TargetMode="External" Target="https://www.legis.iowa.gov/docs/iac/rule/191.38.15.pdf" Type="http://schemas.openxmlformats.org/officeDocument/2006/relationships/hyperlink" Id="rId11"/>
    <Relationship TargetMode="External" Target="https://www.legis.iowa.gov/docs/iac/rule/191.38.15.pdf" Type="http://schemas.openxmlformats.org/officeDocument/2006/relationships/hyperlink" Id="rId12"/>
    <Relationship TargetMode="External" Target="https://www.legis.iowa.gov/docs/iac/rule/191.38.15.pdf" Type="http://schemas.openxmlformats.org/officeDocument/2006/relationships/hyperlink" Id="rId13"/>
    <Relationship TargetMode="External" Target="https://www.legis.iowa.gov/docs/iac/rule/191.38.15.pdf" Type="http://schemas.openxmlformats.org/officeDocument/2006/relationships/hyperlink" Id="rId14"/>
    <Relationship TargetMode="External" Target="https://www.legis.iowa.gov/docs/iac/rule/191.38.15.pdf" Type="http://schemas.openxmlformats.org/officeDocument/2006/relationships/hyperlink" Id="rId15"/>
    <Relationship TargetMode="External" Target="https://www.legis.iowa.gov/docs/iac/rule/191.38.15.pdf" Type="http://schemas.openxmlformats.org/officeDocument/2006/relationships/hyperlink" Id="rId16"/>
    <Relationship TargetMode="External" Target="https://www.legis.iowa.gov/docs/iac/rule/191.38.15.pdf" Type="http://schemas.openxmlformats.org/officeDocument/2006/relationships/hyperlink" Id="rId17"/>
    <Relationship TargetMode="External" Target="https://www.legis.iowa.gov/docs/iac/rule/191.38.15.pdf" Type="http://schemas.openxmlformats.org/officeDocument/2006/relationships/hyperlink" Id="rId18"/>
    <Relationship TargetMode="External" Target="https://www.legis.iowa.gov/docs/iac/rule/191.38.15.pdf" Type="http://schemas.openxmlformats.org/officeDocument/2006/relationships/hyperlink" Id="rId19"/>
    <Relationship TargetMode="External" Target="https://www.legis.iowa.gov/docs/iac/rule/191.38.15.pdf" Type="http://schemas.openxmlformats.org/officeDocument/2006/relationships/hyperlink" Id="rId20"/>
    <Relationship TargetMode="External" Target="https://www.legis.iowa.gov/docs/iac/rule/191.38.15.pdf" Type="http://schemas.openxmlformats.org/officeDocument/2006/relationships/hyperlink" Id="rId21"/>
    <Relationship TargetMode="External" Target="https://www.legis.iowa.gov/docs/iac/rule/191.38.15.pdf" Type="http://schemas.openxmlformats.org/officeDocument/2006/relationships/hyperlink" Id="rId22"/>
    <Relationship TargetMode="External" Target="https://www.legis.iowa.gov/docs/iac/rule/191.38.15.pdf" Type="http://schemas.openxmlformats.org/officeDocument/2006/relationships/hyperlink" Id="rId23"/>
    <Relationship TargetMode="External" Target="https://www.legis.iowa.gov/docs/iac/rule/191.38.15.pdf" Type="http://schemas.openxmlformats.org/officeDocument/2006/relationships/hyperlink" Id="rId24"/>
    <Relationship TargetMode="External" Target="https://www.legis.iowa.gov/docs/ico/chapter/509.pdf" Type="http://schemas.openxmlformats.org/officeDocument/2006/relationships/hyperlink" Id="rId25"/>
    <Relationship TargetMode="External" Target="https://www.legis.iowa.gov/docs/ico/chapter/514.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