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MEDICARE SUPPLEMENT INSURANCE</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191—37.1</w:t>
      </w:r>
      <w:r>
        <w:rPr>
          <w:rFonts w:ascii="Times New Roman" w:hAnsi="Times New Roman"/>
          <w:b/>
          <w:i w:val="false"/>
          <w:color w:val="000000"/>
          <w:sz w:val="22"/>
        </w:rPr>
        <w:t xml:space="preserve">(514D) </w:t>
      </w:r>
      <w:r>
        <w:rPr>
          <w:rFonts w:ascii="Times New Roman" w:hAnsi="Times New Roman"/>
          <w:b/>
          <w:i w:val="false"/>
          <w:color w:val="000000"/>
          <w:sz w:val="22"/>
        </w:rPr>
        <w:t xml:space="preserve">Purpose and authority. </w:t>
      </w:r>
      <w:r>
        <w:rPr>
          <w:rFonts w:ascii="Times New Roman" w:hAnsi="Times New Roman"/>
          <w:b w:val="false"/>
          <w:i w:val="false"/>
          <w:color w:val="000000"/>
          <w:sz w:val="22"/>
        </w:rPr>
        <w:t xml:space="preserve">The purpose of this chapter is to provide for the reasonable standardization of coverage and simplification of terms and benefits of Medicare supplement policies; to facilitate public understanding and comparison of such policies; to eliminate provisions contained in such policies which may be misleading or confusing in connection with the purchase of such policies or with the settlement of claims; and to provide for full disclosures in the sale of accident and sickness insurance coverages to persons eligible for Medicare. This chapter is issued pursuant to the authority vested in the commissioner under Iowa Code chapter </w:t>
      </w:r>
      <w:hyperlink r:id="rId5">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w:t>
      </w:r>
      <w:r>
        <w:rPr>
          <w:rFonts w:ascii="Times New Roman" w:hAnsi="Times New Roman"/>
          <w:b/>
          <w:i w:val="false"/>
          <w:color w:val="000000"/>
          <w:sz w:val="22"/>
        </w:rPr>
        <w:t xml:space="preserve">(514D) </w:t>
      </w:r>
      <w:r>
        <w:rPr>
          <w:rFonts w:ascii="Times New Roman" w:hAnsi="Times New Roman"/>
          <w:b/>
          <w:i w:val="false"/>
          <w:color w:val="000000"/>
          <w:sz w:val="22"/>
        </w:rPr>
        <w:t xml:space="preserve">Applicability, scope, and appendices.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and scope.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otherwise specifically provided in rules </w:t>
      </w:r>
      <w:hyperlink r:id="rId6">
        <w:r>
          <w:rPr>
            <w:rStyle w:val="Hyperlink"/>
            <w:rFonts w:ascii="Times New Roman" w:hAnsi="Times New Roman"/>
            <w:b w:val="false"/>
            <w:i w:val="false"/>
            <w:color w:val="000000"/>
            <w:sz w:val="22"/>
          </w:rPr>
          <w:t>191—37.6</w:t>
        </w:r>
      </w:hyperlink>
      <w:r>
        <w:rPr>
          <w:rFonts w:ascii="Times New Roman" w:hAnsi="Times New Roman"/>
          <w:b w:val="false"/>
          <w:i w:val="false"/>
          <w:color w:val="000000"/>
          <w:sz w:val="22"/>
        </w:rPr>
        <w:t xml:space="preserve">(514D), </w:t>
      </w:r>
      <w:hyperlink r:id="rId7">
        <w:r>
          <w:rPr>
            <w:rStyle w:val="Hyperlink"/>
            <w:rFonts w:ascii="Times New Roman" w:hAnsi="Times New Roman"/>
            <w:b w:val="false"/>
            <w:i w:val="false"/>
            <w:color w:val="000000"/>
            <w:sz w:val="22"/>
          </w:rPr>
          <w:t>191—37.22</w:t>
        </w:r>
      </w:hyperlink>
      <w:r>
        <w:rPr>
          <w:rFonts w:ascii="Times New Roman" w:hAnsi="Times New Roman"/>
          <w:b w:val="false"/>
          <w:i w:val="false"/>
          <w:color w:val="000000"/>
          <w:sz w:val="22"/>
        </w:rPr>
        <w:t xml:space="preserve">(514D), </w:t>
      </w:r>
      <w:hyperlink r:id="rId8">
        <w:r>
          <w:rPr>
            <w:rStyle w:val="Hyperlink"/>
            <w:rFonts w:ascii="Times New Roman" w:hAnsi="Times New Roman"/>
            <w:b w:val="false"/>
            <w:i w:val="false"/>
            <w:color w:val="000000"/>
            <w:sz w:val="22"/>
          </w:rPr>
          <w:t>191—37.23</w:t>
        </w:r>
      </w:hyperlink>
      <w:r>
        <w:rPr>
          <w:rFonts w:ascii="Times New Roman" w:hAnsi="Times New Roman"/>
          <w:b w:val="false"/>
          <w:i w:val="false"/>
          <w:color w:val="000000"/>
          <w:sz w:val="22"/>
        </w:rPr>
        <w:t xml:space="preserve">(514D), </w:t>
      </w:r>
      <w:hyperlink r:id="rId9">
        <w:r>
          <w:rPr>
            <w:rStyle w:val="Hyperlink"/>
            <w:rFonts w:ascii="Times New Roman" w:hAnsi="Times New Roman"/>
            <w:b w:val="false"/>
            <w:i w:val="false"/>
            <w:color w:val="000000"/>
            <w:sz w:val="22"/>
          </w:rPr>
          <w:t>191—37.28</w:t>
        </w:r>
      </w:hyperlink>
      <w:r>
        <w:rPr>
          <w:rFonts w:ascii="Times New Roman" w:hAnsi="Times New Roman"/>
          <w:b w:val="false"/>
          <w:i w:val="false"/>
          <w:color w:val="000000"/>
          <w:sz w:val="22"/>
        </w:rPr>
        <w:t xml:space="preserve">(514D) and </w:t>
      </w:r>
      <w:hyperlink r:id="rId10">
        <w:r>
          <w:rPr>
            <w:rStyle w:val="Hyperlink"/>
            <w:rFonts w:ascii="Times New Roman" w:hAnsi="Times New Roman"/>
            <w:b w:val="false"/>
            <w:i w:val="false"/>
            <w:color w:val="000000"/>
            <w:sz w:val="22"/>
          </w:rPr>
          <w:t>191—37.32</w:t>
        </w:r>
      </w:hyperlink>
      <w:r>
        <w:rPr>
          <w:rFonts w:ascii="Times New Roman" w:hAnsi="Times New Roman"/>
          <w:b w:val="false"/>
          <w:i w:val="false"/>
          <w:color w:val="000000"/>
          <w:sz w:val="22"/>
        </w:rPr>
        <w:t>(514D), this chapter shall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Medicare supplement individual or group policies delivered or issued for delivery in this state on or after May 15, 2019, unless otherwise stated;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certificates issued under group Medicare supplement policies, which certificates have been delivered or issued for delivery in this state on or after May 15, 2019, unless otherwise 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chapter shall not apply to a policy or contract of one or more employers or labor organizations, or of the trustees of a fund established by one or more employers or labor organizations, or combination thereof; for employees or former employees, or a combination thereof; or for members or former members, or a combination thereof, of the labor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w:t>
      </w:r>
      <w:r>
        <w:rPr>
          <w:rFonts w:ascii="Times New Roman" w:hAnsi="Times New Roman"/>
          <w:b w:val="false"/>
          <w:i w:val="false"/>
          <w:color w:val="000000"/>
          <w:sz w:val="22"/>
        </w:rPr>
        <w:t> </w:t>
      </w:r>
      <w:r>
        <w:rPr>
          <w:rFonts w:ascii="Times New Roman" w:hAnsi="Times New Roman"/>
          <w:b w:val="false"/>
          <w:i/>
          <w:color w:val="000000"/>
          <w:sz w:val="22"/>
        </w:rPr>
        <w:t xml:space="preserve">Appendices. </w:t>
      </w:r>
      <w:r>
        <w:rPr>
          <w:rFonts w:ascii="Times New Roman" w:hAnsi="Times New Roman"/>
          <w:b w:val="false"/>
          <w:i w:val="false"/>
          <w:color w:val="000000"/>
          <w:sz w:val="22"/>
        </w:rPr>
        <w:t>The following appendices can be found at the end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Appendix A: Medicare Supplement Refund Calculation Form. This form is to be completed pursuant to </w:t>
      </w:r>
      <w:hyperlink r:id="rId11">
        <w:r>
          <w:rPr>
            <w:rStyle w:val="Hyperlink"/>
            <w:rFonts w:ascii="Times New Roman" w:hAnsi="Times New Roman"/>
            <w:b w:val="false"/>
            <w:i w:val="false"/>
            <w:color w:val="000000"/>
            <w:sz w:val="22"/>
          </w:rPr>
          <w:t>subrule 37.23(3)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Appendix B: Disclosure Statements. The applicable notice from the choices in Appendix B shall be used on Medicare supplement applications, pursuant to </w:t>
      </w:r>
      <w:hyperlink r:id="rId12">
        <w:r>
          <w:rPr>
            <w:rStyle w:val="Hyperlink"/>
            <w:rFonts w:ascii="Times New Roman" w:hAnsi="Times New Roman"/>
            <w:b w:val="false"/>
            <w:i w:val="false"/>
            <w:color w:val="000000"/>
            <w:sz w:val="22"/>
          </w:rPr>
          <w:t>subrule 37.26(2)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Appendix C: Statements and Questions for Application Forms Related to Duplicate or Replacement Coverage. The statements and questions in Appendix C shall be included with the outline of coverage and delivered with any application form for Medicare supplement policies or certificates to an applicant, as required by </w:t>
      </w:r>
      <w:hyperlink r:id="rId13">
        <w:r>
          <w:rPr>
            <w:rStyle w:val="Hyperlink"/>
            <w:rFonts w:ascii="Times New Roman" w:hAnsi="Times New Roman"/>
            <w:b w:val="false"/>
            <w:i w:val="false"/>
            <w:color w:val="000000"/>
            <w:sz w:val="22"/>
          </w:rPr>
          <w:t>subrules 37.27(1)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37.27(2)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Appendix D: Notice to Applicant Regarding Replacement of Medicare Supplement Insurance or Medicare Advantage. The notice form of Appendix D shall be provided as required by </w:t>
      </w:r>
      <w:hyperlink r:id="rId15">
        <w:r>
          <w:rPr>
            <w:rStyle w:val="Hyperlink"/>
            <w:rFonts w:ascii="Times New Roman" w:hAnsi="Times New Roman"/>
            <w:b w:val="false"/>
            <w:i w:val="false"/>
            <w:color w:val="000000"/>
            <w:sz w:val="22"/>
          </w:rPr>
          <w:t>subrules 37.27(4)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37.27(5)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Appendix E: Outline of Coverage: Benefit Charts. The items in the applicable tables in this Appendix E, displaying the features of each benefit plan offered by the issuer, shall be included in the outline of coverage in the order prescribed, pursuant to </w:t>
      </w:r>
      <w:hyperlink r:id="rId17">
        <w:r>
          <w:rPr>
            <w:rStyle w:val="Hyperlink"/>
            <w:rFonts w:ascii="Times New Roman" w:hAnsi="Times New Roman"/>
            <w:b w:val="false"/>
            <w:i w:val="false"/>
            <w:color w:val="000000"/>
            <w:sz w:val="22"/>
          </w:rPr>
          <w:t>subrule 37.28(4)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Appendix F: Form for Reporting Medicare Supplement Policies or Certificates. This form is to be completed pursuant to </w:t>
      </w:r>
      <w:hyperlink r:id="rId18">
        <w:r>
          <w:rPr>
            <w:rStyle w:val="Hyperlink"/>
            <w:rFonts w:ascii="Times New Roman" w:hAnsi="Times New Roman"/>
            <w:b w:val="false"/>
            <w:i w:val="false"/>
            <w:color w:val="000000"/>
            <w:sz w:val="22"/>
          </w:rPr>
          <w:t>subrule 37.32(1)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191—37.3</w:t>
      </w:r>
      <w:r>
        <w:rPr>
          <w:rFonts w:ascii="Times New Roman" w:hAnsi="Times New Roman"/>
          <w:b/>
          <w:i w:val="false"/>
          <w:color w:val="000000"/>
          <w:sz w:val="22"/>
        </w:rPr>
        <w:t xml:space="preserve">(514D)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purposes of this chapter, in addition to the definitions in Iowa Code section </w:t>
      </w:r>
      <w:hyperlink r:id="rId19">
        <w:r>
          <w:rPr>
            <w:rStyle w:val="Hyperlink"/>
            <w:rFonts w:ascii="Times New Roman" w:hAnsi="Times New Roman"/>
            <w:b w:val="false"/>
            <w:i w:val="false"/>
            <w:color w:val="000000"/>
            <w:sz w:val="22"/>
          </w:rPr>
          <w:t>514D.2</w:t>
        </w:r>
      </w:hyperlink>
      <w:r>
        <w:rPr>
          <w:rFonts w:ascii="Times New Roman" w:hAnsi="Times New Roman"/>
          <w:b w:val="false"/>
          <w:i w:val="false"/>
          <w:color w:val="000000"/>
          <w:sz w:val="22"/>
        </w:rPr>
        <w:t>, the following definitions shall apply, unless otherwise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“1990 standardized Medicare supplement benefit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“1990 plan” </w:t>
      </w:r>
      <w:r>
        <w:rPr>
          <w:rFonts w:ascii="Times New Roman" w:hAnsi="Times New Roman"/>
          <w:b w:val="false"/>
          <w:i w:val="false"/>
          <w:color w:val="000000"/>
          <w:sz w:val="22"/>
        </w:rPr>
        <w:t>means a group or individual Medicare supplement policy issued on or after January 1, 1992, and with an effective date for coverage prior to June 1, 2010, and includes Medicare supplement insurance policies and certificates renewed on or after June 1, 2010, which are not replaced by the issuer at the request of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“2010 standardized Medicare supplement benefit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“2010 plan” </w:t>
      </w:r>
      <w:r>
        <w:rPr>
          <w:rFonts w:ascii="Times New Roman" w:hAnsi="Times New Roman"/>
          <w:b w:val="false"/>
          <w:i w:val="false"/>
          <w:color w:val="000000"/>
          <w:sz w:val="22"/>
        </w:rPr>
        <w:t>means a group or individual Medicare supplement policy issued with an effective date for coverage on or after June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an individual Medicare supplement policy, the person who seeks to contract for insurance benefits;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a group Medicare supplement policy, the proposed covered individual, unless stated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“Basic core benefits” </w:t>
      </w:r>
      <w:r>
        <w:rPr>
          <w:rFonts w:ascii="Times New Roman" w:hAnsi="Times New Roman"/>
          <w:b w:val="false"/>
          <w:i w:val="false"/>
          <w:color w:val="000000"/>
          <w:sz w:val="22"/>
        </w:rPr>
        <w:t xml:space="preserve">are benefits defined in </w:t>
      </w:r>
      <w:hyperlink r:id="rId20">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for 1990 plans, </w:t>
      </w:r>
      <w:hyperlink r:id="rId21">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for 2010 plans, and </w:t>
      </w:r>
      <w:hyperlink r:id="rId22">
        <w:r>
          <w:rPr>
            <w:rStyle w:val="Hyperlink"/>
            <w:rFonts w:ascii="Times New Roman" w:hAnsi="Times New Roman"/>
            <w:b w:val="false"/>
            <w:i w:val="false"/>
            <w:color w:val="000000"/>
            <w:sz w:val="22"/>
          </w:rPr>
          <w:t>subrule 37.9(1)</w:t>
        </w:r>
      </w:hyperlink>
      <w:r>
        <w:rPr>
          <w:rFonts w:ascii="Times New Roman" w:hAnsi="Times New Roman"/>
          <w:b w:val="false"/>
          <w:i w:val="false"/>
          <w:color w:val="000000"/>
          <w:sz w:val="22"/>
        </w:rPr>
        <w:t xml:space="preserve"> for Medicare supplement policies or certificates delivered or issued for delivery to individuals newly eligible for Medicare on or after January 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any certificate of coverage delivered or issued for delivery in this state to a covered individual under a group Medicare supplement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form” </w:t>
      </w:r>
      <w:r>
        <w:rPr>
          <w:rFonts w:ascii="Times New Roman" w:hAnsi="Times New Roman"/>
          <w:b w:val="false"/>
          <w:i w:val="false"/>
          <w:color w:val="000000"/>
          <w:sz w:val="22"/>
        </w:rPr>
        <w:t xml:space="preserve">means the form (as defined in Iowa Code section </w:t>
      </w:r>
      <w:hyperlink r:id="rId23">
        <w:r>
          <w:rPr>
            <w:rStyle w:val="Hyperlink"/>
            <w:rFonts w:ascii="Times New Roman" w:hAnsi="Times New Roman"/>
            <w:b w:val="false"/>
            <w:i w:val="false"/>
            <w:color w:val="000000"/>
            <w:sz w:val="22"/>
          </w:rPr>
          <w:t>514D.2(2)</w:t>
        </w:r>
      </w:hyperlink>
      <w:r>
        <w:rPr>
          <w:rFonts w:ascii="Times New Roman" w:hAnsi="Times New Roman"/>
          <w:b w:val="false"/>
          <w:i w:val="false"/>
          <w:color w:val="000000"/>
          <w:sz w:val="22"/>
        </w:rPr>
        <w:t>) on which the certificate is delivered or issued for delivery by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holder” </w:t>
      </w:r>
      <w:r>
        <w:rPr>
          <w:rFonts w:ascii="Times New Roman" w:hAnsi="Times New Roman"/>
          <w:b w:val="false"/>
          <w:i w:val="false"/>
          <w:color w:val="000000"/>
          <w:sz w:val="22"/>
        </w:rPr>
        <w:t>means the named individual to whom the certificate of coverage under a group policy is issued, or a spouse,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“CMS” </w:t>
      </w:r>
      <w:r>
        <w:rPr>
          <w:rFonts w:ascii="Times New Roman" w:hAnsi="Times New Roman"/>
          <w:b w:val="false"/>
          <w:i w:val="false"/>
          <w:color w:val="000000"/>
          <w:sz w:val="22"/>
        </w:rPr>
        <w:t>means the Centers for Medicare and Medicaid Services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“Commissioner” </w:t>
      </w:r>
      <w:r>
        <w:rPr>
          <w:rFonts w:ascii="Times New Roman" w:hAnsi="Times New Roman"/>
          <w:b w:val="false"/>
          <w:i w:val="false"/>
          <w:color w:val="000000"/>
          <w:sz w:val="22"/>
        </w:rPr>
        <w:t>means the Iowa insurance commissioner, and includes the insurance division as delegated.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“Covered individual” </w:t>
      </w:r>
      <w:r>
        <w:rPr>
          <w:rFonts w:ascii="Times New Roman" w:hAnsi="Times New Roman"/>
          <w:b w:val="false"/>
          <w:i w:val="false"/>
          <w:color w:val="000000"/>
          <w:sz w:val="22"/>
        </w:rPr>
        <w:t xml:space="preserve">means an individual who may receive benefits under an individual or group Medicare supplement policy because the individual is one of the following: the named insured under an individual Medicare supplement policy; the named certificate holder under a group Medicare supplement policy; or an individual such as a spouse covered by way of the named certificate holder’s group Medicare supplement policy. For purposes of rule </w:t>
      </w:r>
      <w:hyperlink r:id="rId24">
        <w:r>
          <w:rPr>
            <w:rStyle w:val="Hyperlink"/>
            <w:rFonts w:ascii="Times New Roman" w:hAnsi="Times New Roman"/>
            <w:b w:val="false"/>
            <w:i w:val="false"/>
            <w:color w:val="000000"/>
            <w:sz w:val="22"/>
          </w:rPr>
          <w:t>191—37.20</w:t>
        </w:r>
      </w:hyperlink>
      <w:r>
        <w:rPr>
          <w:rFonts w:ascii="Times New Roman" w:hAnsi="Times New Roman"/>
          <w:b w:val="false"/>
          <w:i w:val="false"/>
          <w:color w:val="000000"/>
          <w:sz w:val="22"/>
        </w:rPr>
        <w:t>(514D), “covered individual” means an individual who may receive benefits under an individual or group Medicare Select policy because the individual is one of the following: the named insured under an individual Medicare Select policy; the named certificate holder under a group Medicare Select policy; or an individual such as a spouse covered by way of the named certificate holder’s group Medicare Select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“Creditable coverage.”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“Creditable coverage” means, with respect to an individual, health coverage of the individual provided under any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group health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Health insurance coverage;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Part A or Part B of </w:t>
      </w:r>
      <w:r>
        <w:rPr>
          <w:rFonts w:ascii="Times New Roman" w:hAnsi="Times New Roman"/>
          <w:b w:val="false"/>
          <w:i w:val="false"/>
          <w:color w:val="000000"/>
          <w:sz w:val="22"/>
        </w:rPr>
        <w:t>Title XVIII of the Social Security Act</w:t>
      </w:r>
      <w:r>
        <w:rPr>
          <w:rFonts w:ascii="Times New Roman" w:hAnsi="Times New Roman"/>
          <w:b w:val="false"/>
          <w:i w:val="false"/>
          <w:color w:val="000000"/>
          <w:sz w:val="22"/>
        </w:rPr>
        <w:t xml:space="preserve"> (Medicare);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xml:space="preserve"> (Medicaid), other than coverage consisting solely of benefits under Section 1928;</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Chapter 55 of Title 10, United States Code (CHAMPUS);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medical care program of the Indian Health Service or of a tribal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state health benefits risk pool;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health plan offered under Chapter 89 of Title 5, United States Code (Federal Employees Health Benefits Program);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public health plan as defined in federal regulation;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 health benefit plan under </w:t>
      </w:r>
      <w:r>
        <w:rPr>
          <w:rFonts w:ascii="Times New Roman" w:hAnsi="Times New Roman"/>
          <w:b w:val="false"/>
          <w:i w:val="false"/>
          <w:color w:val="000000"/>
          <w:sz w:val="22"/>
        </w:rPr>
        <w:t>Section 5(e) of the Peace Corps Act</w:t>
      </w:r>
      <w:r>
        <w:rPr>
          <w:rFonts w:ascii="Times New Roman" w:hAnsi="Times New Roman"/>
          <w:b w:val="false"/>
          <w:i w:val="false"/>
          <w:color w:val="000000"/>
          <w:sz w:val="22"/>
        </w:rPr>
        <w:t xml:space="preserve"> (22 United States Code 2504(e)).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“Creditable coverage” shall not include one or more of, or any combination of, the following: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only for accident or disability income insurance, or any combination thereof;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issued as a supplement to liability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Liability insurance, including general liability insurance and automobile liability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Workers’ compensation or similar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Automobile medical payment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Credit-only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for on-site medical clinics;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Other similar insurance coverage, specified in federal regulations, under which benefits for medical care are secondary or incidental to other insurance benefits.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“Creditable coverage” shall not include the following benefits if they are provided under a separate policy, certificate or contract of insurance or are otherwise not an integral part of the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Limited scope dental or vision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Benefits for long-term care, nursing home care, home health care, community-based care, or any combination thereof;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Such other similar limited benefits as are specified in federal regulations.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“Creditable coverage” shall not include the following benefits if offered as independent, noncoordinated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only for a specified disease or illness;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Hospital indemnity or other fixed indemnity insurance.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“Creditable coverage” shall not include the following if it is offered as a separate policy, certificate or contract of insurance: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Medicare supplemental health insurance as defined under </w:t>
      </w:r>
      <w:r>
        <w:rPr>
          <w:rFonts w:ascii="Times New Roman" w:hAnsi="Times New Roman"/>
          <w:b w:val="false"/>
          <w:i w:val="false"/>
          <w:color w:val="000000"/>
          <w:sz w:val="22"/>
        </w:rPr>
        <w:t>Section 1882(g)(1)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Coverage supplemental to the coverage provided under Chapter 55 of Title 10, United States Code;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Similar supplemental coverage provided to the coverage under a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when used in reference to filing information with the commissioner or with the insurance division, means submitting information as set forth in these rules through the System for Electronic Rate and Form Filing (SERFF), </w:t>
      </w:r>
      <w:hyperlink r:id="rId25">
        <w:r>
          <w:rPr>
            <w:rStyle w:val="Hyperlink"/>
            <w:rFonts w:ascii="Times New Roman" w:hAnsi="Times New Roman"/>
            <w:b w:val="false"/>
            <w:i w:val="false"/>
            <w:color w:val="000000"/>
            <w:sz w:val="22"/>
            <w:u w:val="single"/>
          </w:rPr>
          <w:t>www.serff.com</w:t>
        </w:r>
      </w:hyperlink>
      <w:r>
        <w:rPr>
          <w:rFonts w:ascii="Times New Roman" w:hAnsi="Times New Roman"/>
          <w:b w:val="false"/>
          <w:i w:val="false"/>
          <w:color w:val="000000"/>
          <w:sz w:val="22"/>
        </w:rPr>
        <w:t xml:space="preserve">, or as otherwise directed by the insurance division through its website, </w:t>
      </w:r>
      <w:hyperlink r:id="rId26">
        <w:r>
          <w:rPr>
            <w:rStyle w:val="Hyperlink"/>
            <w:rFonts w:ascii="Times New Roman" w:hAnsi="Times New Roman"/>
            <w:b w:val="false"/>
            <w:i w:val="false"/>
            <w:color w:val="000000"/>
            <w:sz w:val="22"/>
            <w:u w:val="single"/>
          </w:rPr>
          <w:t>iid.iowa.gov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member” </w:t>
      </w:r>
      <w:r>
        <w:rPr>
          <w:rFonts w:ascii="Times New Roman" w:hAnsi="Times New Roman"/>
          <w:b w:val="false"/>
          <w:i w:val="false"/>
          <w:color w:val="000000"/>
          <w:sz w:val="22"/>
        </w:rPr>
        <w:t>means the individual who is a member of the group entity to which the group policy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“Group policyholder” </w:t>
      </w:r>
      <w:r>
        <w:rPr>
          <w:rFonts w:ascii="Times New Roman" w:hAnsi="Times New Roman"/>
          <w:b w:val="false"/>
          <w:i w:val="false"/>
          <w:color w:val="000000"/>
          <w:sz w:val="22"/>
        </w:rPr>
        <w:t>means the group entity to which a group Medicare supplement policy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“Insolvency” </w:t>
      </w:r>
      <w:r>
        <w:rPr>
          <w:rFonts w:ascii="Times New Roman" w:hAnsi="Times New Roman"/>
          <w:b w:val="false"/>
          <w:i w:val="false"/>
          <w:color w:val="000000"/>
          <w:sz w:val="22"/>
        </w:rPr>
        <w:t>means that an issuer, licensed to transact the business of insurance in this state, has had a final order of liquidation entered against it with a finding of insolvency by a court of competent jurisdiction in the issuer’s state of domicile.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“Insurance division” </w:t>
      </w:r>
      <w:r>
        <w:rPr>
          <w:rFonts w:ascii="Times New Roman" w:hAnsi="Times New Roman"/>
          <w:b w:val="false"/>
          <w:i w:val="false"/>
          <w:color w:val="000000"/>
          <w:sz w:val="22"/>
        </w:rPr>
        <w:t>means the Iowa insurance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“Issuer” </w:t>
      </w:r>
      <w:r>
        <w:rPr>
          <w:rFonts w:ascii="Times New Roman" w:hAnsi="Times New Roman"/>
          <w:b w:val="false"/>
          <w:i w:val="false"/>
          <w:color w:val="000000"/>
          <w:sz w:val="22"/>
        </w:rPr>
        <w:t>includes insurance companies, fraternal benefit societies, health care service plans, health maintenance organizations, and any other entity delivering or issuing for delivery in this state Medicare supplement policies or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w:t>
      </w:r>
      <w:r>
        <w:rPr>
          <w:rFonts w:ascii="Times New Roman" w:hAnsi="Times New Roman"/>
          <w:b w:val="false"/>
          <w:i w:val="false"/>
          <w:color w:val="000000"/>
          <w:sz w:val="22"/>
        </w:rPr>
        <w:t>means the Health Insurance for the Aged Act, Title XVIII of the Social Security Amendments of 1965, as then constituted or later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Advantage plan” </w:t>
      </w:r>
      <w:r>
        <w:rPr>
          <w:rFonts w:ascii="Times New Roman" w:hAnsi="Times New Roman"/>
          <w:b w:val="false"/>
          <w:i w:val="false"/>
          <w:color w:val="000000"/>
          <w:sz w:val="22"/>
        </w:rPr>
        <w:t xml:space="preserve">means a plan of coverage for health benefits under Medicare Part C (as defined in </w:t>
      </w:r>
      <w:r>
        <w:rPr>
          <w:rFonts w:ascii="Times New Roman" w:hAnsi="Times New Roman"/>
          <w:b w:val="false"/>
          <w:i w:val="false"/>
          <w:color w:val="000000"/>
          <w:sz w:val="22"/>
        </w:rPr>
        <w:t>42 U.S.C. 1395w</w:t>
      </w:r>
      <w:r>
        <w:rPr>
          <w:rFonts w:ascii="Times New Roman" w:hAnsi="Times New Roman"/>
          <w:b w:val="false"/>
          <w:i w:val="false"/>
          <w:color w:val="000000"/>
          <w:sz w:val="22"/>
        </w:rPr>
        <w:t>-28(b)(1)), and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Coordinated care plans which provide health care services, including but not limited to health maintenance organization plans (with or without a point-of-service option), plans offered by provider-sponsored organizations, and preferred provider organization plans;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Medical savings account plans coupled with a contribution into a Medicare Advantage medical savings account;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Medicare Advantage private fee-for-service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Select policy,” </w:t>
      </w:r>
      <w:r>
        <w:rPr>
          <w:rFonts w:ascii="Times New Roman" w:hAnsi="Times New Roman"/>
          <w:b w:val="false"/>
          <w:i/>
          <w:color w:val="000000"/>
          <w:sz w:val="22"/>
        </w:rPr>
        <w:t>“Medicare Select certificate,”</w:t>
      </w:r>
      <w:r>
        <w:rPr>
          <w:rFonts w:ascii="Times New Roman" w:hAnsi="Times New Roman"/>
          <w:b w:val="false"/>
          <w:i/>
          <w:color w:val="000000"/>
          <w:sz w:val="22"/>
        </w:rPr>
        <w:t>“Medicare Select issuer,”</w:t>
      </w:r>
      <w:r>
        <w:rPr>
          <w:rFonts w:ascii="Times New Roman" w:hAnsi="Times New Roman"/>
          <w:b w:val="false"/>
          <w:i w:val="false"/>
          <w:color w:val="000000"/>
          <w:sz w:val="22"/>
        </w:rPr>
        <w:t xml:space="preserve"> and </w:t>
      </w:r>
      <w:r>
        <w:rPr>
          <w:rFonts w:ascii="Times New Roman" w:hAnsi="Times New Roman"/>
          <w:b w:val="false"/>
          <w:i/>
          <w:color w:val="000000"/>
          <w:sz w:val="22"/>
        </w:rPr>
        <w:t>“Medicare Select network provider”</w:t>
      </w:r>
      <w:r>
        <w:rPr>
          <w:rFonts w:ascii="Times New Roman" w:hAnsi="Times New Roman"/>
          <w:b w:val="false"/>
          <w:i w:val="false"/>
          <w:color w:val="000000"/>
          <w:sz w:val="22"/>
        </w:rPr>
        <w:t xml:space="preserve"> are defined in </w:t>
      </w:r>
      <w:hyperlink r:id="rId27">
        <w:r>
          <w:rPr>
            <w:rStyle w:val="Hyperlink"/>
            <w:rFonts w:ascii="Times New Roman" w:hAnsi="Times New Roman"/>
            <w:b w:val="false"/>
            <w:i w:val="false"/>
            <w:color w:val="000000"/>
            <w:sz w:val="22"/>
          </w:rPr>
          <w:t>subrule 37.20(2)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supplement policy” </w:t>
      </w:r>
      <w:r>
        <w:rPr>
          <w:rFonts w:ascii="Times New Roman" w:hAnsi="Times New Roman"/>
          <w:b w:val="false"/>
          <w:i w:val="false"/>
          <w:color w:val="000000"/>
          <w:sz w:val="22"/>
        </w:rPr>
        <w:t xml:space="preserve">means a group or individual policy of accident and sickness insurance or a subscriber contract of hospital and medical service associations or health maintenance organizations, other than a policy issued pursuant to a contract under </w:t>
      </w:r>
      <w:r>
        <w:rPr>
          <w:rFonts w:ascii="Times New Roman" w:hAnsi="Times New Roman"/>
          <w:b w:val="false"/>
          <w:i w:val="false"/>
          <w:color w:val="000000"/>
          <w:sz w:val="22"/>
        </w:rPr>
        <w:t>Section 1876 of the federal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 et seq.) or an issued policy under a demonstration project specified in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1395ss(g)(1), which is advertised, marketed or designed primarily as a supplement to reimbursements under Medicare for the hospital, medical or surgical expenses of persons eligible for Medicare. “Medicare supplement policy” does not include Medicare Advantage plans, outpatient prescription drug plans established under Medicare Part D, or any health care prepayment plan (HCPP) that provides benefits pursuant to an agreement under </w:t>
      </w:r>
      <w:r>
        <w:rPr>
          <w:rFonts w:ascii="Times New Roman" w:hAnsi="Times New Roman"/>
          <w:b w:val="false"/>
          <w:i w:val="false"/>
          <w:color w:val="000000"/>
          <w:sz w:val="22"/>
        </w:rPr>
        <w:t>Section 1833(a)(1)(A) of the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“MMA” </w:t>
      </w:r>
      <w:r>
        <w:rPr>
          <w:rFonts w:ascii="Times New Roman" w:hAnsi="Times New Roman"/>
          <w:b w:val="false"/>
          <w:i w:val="false"/>
          <w:color w:val="000000"/>
          <w:sz w:val="22"/>
        </w:rPr>
        <w:t>means the Medicare Prescription Drug, Improvement, and Modernization Act of 2003, Pub. L. No. 108-173, 117 Stat. 2066.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“PACE program” </w:t>
      </w:r>
      <w:r>
        <w:rPr>
          <w:rFonts w:ascii="Times New Roman" w:hAnsi="Times New Roman"/>
          <w:b w:val="false"/>
          <w:i w:val="false"/>
          <w:color w:val="000000"/>
          <w:sz w:val="22"/>
        </w:rPr>
        <w:t xml:space="preserve">means a program of all-inclusive care for the elderly, operated by an approved PACE organization (an entity that is approved as a PACE program by the Iowa department of human services and that has in effect a PACE program agreement between the entity, CMS, and the Iowa department of human services to operate a PACE program) that provides comprehensive health care services to enrollees in Iowa, pursuant to </w:t>
      </w:r>
      <w:r>
        <w:rPr>
          <w:rFonts w:ascii="Times New Roman" w:hAnsi="Times New Roman"/>
          <w:b w:val="false"/>
          <w:i w:val="false"/>
          <w:color w:val="000000"/>
          <w:sz w:val="22"/>
        </w:rPr>
        <w:t>Section 1894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1395e</w:t>
      </w:r>
      <w:r>
        <w:rPr>
          <w:rFonts w:ascii="Times New Roman" w:hAnsi="Times New Roman"/>
          <w:b w:val="false"/>
          <w:i w:val="false"/>
          <w:color w:val="000000"/>
          <w:sz w:val="22"/>
        </w:rPr>
        <w:t xml:space="preserve">ee) and Iowa Administrative Code rules </w:t>
      </w:r>
      <w:hyperlink r:id="rId28">
        <w:r>
          <w:rPr>
            <w:rStyle w:val="Hyperlink"/>
            <w:rFonts w:ascii="Times New Roman" w:hAnsi="Times New Roman"/>
            <w:b w:val="false"/>
            <w:i w:val="false"/>
            <w:color w:val="000000"/>
            <w:sz w:val="22"/>
          </w:rPr>
          <w:t>441—88.21</w:t>
        </w:r>
      </w:hyperlink>
      <w:r>
        <w:rPr>
          <w:rFonts w:ascii="Times New Roman" w:hAnsi="Times New Roman"/>
          <w:b w:val="false"/>
          <w:i w:val="false"/>
          <w:color w:val="000000"/>
          <w:sz w:val="22"/>
        </w:rPr>
        <w:t xml:space="preserve">(249A) through </w:t>
      </w:r>
      <w:hyperlink r:id="rId29">
        <w:r>
          <w:rPr>
            <w:rStyle w:val="Hyperlink"/>
            <w:rFonts w:ascii="Times New Roman" w:hAnsi="Times New Roman"/>
            <w:b w:val="false"/>
            <w:i w:val="false"/>
            <w:color w:val="000000"/>
            <w:sz w:val="22"/>
          </w:rPr>
          <w:t>441—88.28</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any individual, corporation, association, or partnership.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 form” </w:t>
      </w:r>
      <w:r>
        <w:rPr>
          <w:rFonts w:ascii="Times New Roman" w:hAnsi="Times New Roman"/>
          <w:b w:val="false"/>
          <w:i w:val="false"/>
          <w:color w:val="000000"/>
          <w:sz w:val="22"/>
        </w:rPr>
        <w:t xml:space="preserve">means the form (as defined by Iowa Code section </w:t>
      </w:r>
      <w:hyperlink r:id="rId30">
        <w:r>
          <w:rPr>
            <w:rStyle w:val="Hyperlink"/>
            <w:rFonts w:ascii="Times New Roman" w:hAnsi="Times New Roman"/>
            <w:b w:val="false"/>
            <w:i w:val="false"/>
            <w:color w:val="000000"/>
            <w:sz w:val="22"/>
          </w:rPr>
          <w:t>514D.2(2)</w:t>
        </w:r>
      </w:hyperlink>
      <w:r>
        <w:rPr>
          <w:rFonts w:ascii="Times New Roman" w:hAnsi="Times New Roman"/>
          <w:b w:val="false"/>
          <w:i w:val="false"/>
          <w:color w:val="000000"/>
          <w:sz w:val="22"/>
        </w:rPr>
        <w:t xml:space="preserve">) on which the policy (as defined by Iowa Code section </w:t>
      </w:r>
      <w:hyperlink r:id="rId31">
        <w:r>
          <w:rPr>
            <w:rStyle w:val="Hyperlink"/>
            <w:rFonts w:ascii="Times New Roman" w:hAnsi="Times New Roman"/>
            <w:b w:val="false"/>
            <w:i w:val="false"/>
            <w:color w:val="000000"/>
            <w:sz w:val="22"/>
          </w:rPr>
          <w:t>514D.2(4)</w:t>
        </w:r>
      </w:hyperlink>
      <w:r>
        <w:rPr>
          <w:rFonts w:ascii="Times New Roman" w:hAnsi="Times New Roman"/>
          <w:b w:val="false"/>
          <w:i w:val="false"/>
          <w:color w:val="000000"/>
          <w:sz w:val="22"/>
        </w:rPr>
        <w:t>) is delivered or issued for delivery by the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“Policyholder” </w:t>
      </w:r>
      <w:r>
        <w:rPr>
          <w:rFonts w:ascii="Times New Roman" w:hAnsi="Times New Roman"/>
          <w:b w:val="false"/>
          <w:i w:val="false"/>
          <w:color w:val="000000"/>
          <w:sz w:val="22"/>
        </w:rPr>
        <w:t>means the individual person to whom or group entity to which an individual or group Medicare supplement policy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“PPS” </w:t>
      </w:r>
      <w:r>
        <w:rPr>
          <w:rFonts w:ascii="Times New Roman" w:hAnsi="Times New Roman"/>
          <w:b w:val="false"/>
          <w:i w:val="false"/>
          <w:color w:val="000000"/>
          <w:sz w:val="22"/>
        </w:rPr>
        <w:t>means prospective payment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“Prestandardized Medicare supplement benefit plan”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“prestandardized plan” </w:t>
      </w:r>
      <w:r>
        <w:rPr>
          <w:rFonts w:ascii="Times New Roman" w:hAnsi="Times New Roman"/>
          <w:b w:val="false"/>
          <w:i w:val="false"/>
          <w:color w:val="000000"/>
          <w:sz w:val="22"/>
        </w:rPr>
        <w:t>means a group or individual Medicare supplement policy issued prior to January 1,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“Producer” </w:t>
      </w:r>
      <w:r>
        <w:rPr>
          <w:rFonts w:ascii="Times New Roman" w:hAnsi="Times New Roman"/>
          <w:b w:val="false"/>
          <w:i w:val="false"/>
          <w:color w:val="000000"/>
          <w:sz w:val="22"/>
        </w:rPr>
        <w:t xml:space="preserve">means a person licensed in this state pursuant to Iowa Code chapter </w:t>
      </w:r>
      <w:hyperlink r:id="rId32">
        <w:r>
          <w:rPr>
            <w:rStyle w:val="Hyperlink"/>
            <w:rFonts w:ascii="Times New Roman" w:hAnsi="Times New Roman"/>
            <w:b w:val="false"/>
            <w:i w:val="false"/>
            <w:color w:val="000000"/>
            <w:sz w:val="22"/>
          </w:rPr>
          <w:t>522B</w:t>
        </w:r>
      </w:hyperlink>
      <w:r>
        <w:rPr>
          <w:rFonts w:ascii="Times New Roman" w:hAnsi="Times New Roman"/>
          <w:b w:val="false"/>
          <w:i w:val="false"/>
          <w:color w:val="000000"/>
          <w:sz w:val="22"/>
        </w:rPr>
        <w:t xml:space="preserve"> and Iowa Administrative Code </w:t>
      </w:r>
      <w:hyperlink r:id="rId33">
        <w:r>
          <w:rPr>
            <w:rStyle w:val="Hyperlink"/>
            <w:rFonts w:ascii="Times New Roman" w:hAnsi="Times New Roman"/>
            <w:b w:val="false"/>
            <w:i w:val="false"/>
            <w:color w:val="000000"/>
            <w:sz w:val="22"/>
          </w:rPr>
          <w:t>191—Chapter 10</w:t>
        </w:r>
      </w:hyperlink>
      <w:r>
        <w:rPr>
          <w:rFonts w:ascii="Times New Roman" w:hAnsi="Times New Roman"/>
          <w:b w:val="false"/>
          <w:i w:val="false"/>
          <w:color w:val="000000"/>
          <w:sz w:val="22"/>
        </w:rPr>
        <w:t xml:space="preserve"> to sell, solicit, negotiate, effect, procure, deliver, renew, continue or bind policies of insurance for persons residing or located, or for policies to be performed,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“Secretary” </w:t>
      </w:r>
      <w:r>
        <w:rPr>
          <w:rFonts w:ascii="Times New Roman" w:hAnsi="Times New Roman"/>
          <w:b w:val="false"/>
          <w:i w:val="false"/>
          <w:color w:val="000000"/>
          <w:sz w:val="22"/>
        </w:rPr>
        <w:t>means the Secretary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“SMSBP”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“standardized Medicare supplement benefit plan” </w:t>
      </w:r>
      <w:r>
        <w:rPr>
          <w:rFonts w:ascii="Times New Roman" w:hAnsi="Times New Roman"/>
          <w:b w:val="false"/>
          <w:i w:val="false"/>
          <w:color w:val="000000"/>
          <w:sz w:val="22"/>
        </w:rPr>
        <w:t xml:space="preserve">means a 1990 plan, a 2010 plan, or a plan described in </w:t>
      </w:r>
      <w:hyperlink r:id="rId34">
        <w:r>
          <w:rPr>
            <w:rStyle w:val="Hyperlink"/>
            <w:rFonts w:ascii="Times New Roman" w:hAnsi="Times New Roman"/>
            <w:b w:val="false"/>
            <w:i w:val="false"/>
            <w:color w:val="000000"/>
            <w:sz w:val="22"/>
          </w:rPr>
          <w:t>subrule 37.9(1)</w:t>
        </w:r>
      </w:hyperlink>
      <w:r>
        <w:rPr>
          <w:rFonts w:ascii="Times New Roman" w:hAnsi="Times New Roman"/>
          <w:b w:val="false"/>
          <w:i w:val="false"/>
          <w:color w:val="000000"/>
          <w:sz w:val="22"/>
        </w:rPr>
        <w:t xml:space="preserve"> for Medicare supplement policies or certificates delivered or issued for delivery to individuals newly eligible for Medicare on or after January 1, 2020.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191—37.4</w:t>
      </w:r>
      <w:r>
        <w:rPr>
          <w:rFonts w:ascii="Times New Roman" w:hAnsi="Times New Roman"/>
          <w:b/>
          <w:i w:val="false"/>
          <w:color w:val="000000"/>
          <w:sz w:val="22"/>
        </w:rPr>
        <w:t xml:space="preserve">(514D) </w:t>
      </w:r>
      <w:r>
        <w:rPr>
          <w:rFonts w:ascii="Times New Roman" w:hAnsi="Times New Roman"/>
          <w:b/>
          <w:i w:val="false"/>
          <w:color w:val="000000"/>
          <w:sz w:val="22"/>
        </w:rPr>
        <w:t xml:space="preserve">Policy definitions and terms. </w:t>
      </w:r>
      <w:r>
        <w:rPr>
          <w:rFonts w:ascii="Times New Roman" w:hAnsi="Times New Roman"/>
          <w:b w:val="false"/>
          <w:i w:val="false"/>
          <w:color w:val="000000"/>
          <w:sz w:val="22"/>
        </w:rPr>
        <w:t>No policy or certificate may be advertised, solicited or issued for delivery in this state as a Medicare supplement policy or certificate unless such policy or certificate contains definitions or terms which conform to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“Accident,” </w:t>
      </w:r>
      <w:r>
        <w:rPr>
          <w:rFonts w:ascii="Times New Roman" w:hAnsi="Times New Roman"/>
          <w:b w:val="false"/>
          <w:i/>
          <w:color w:val="000000"/>
          <w:sz w:val="22"/>
        </w:rPr>
        <w:t>“accidental injury,”</w:t>
      </w:r>
      <w:r>
        <w:rPr>
          <w:rFonts w:ascii="Times New Roman" w:hAnsi="Times New Roman"/>
          <w:b w:val="false"/>
          <w:i w:val="false"/>
          <w:color w:val="000000"/>
          <w:sz w:val="22"/>
        </w:rPr>
        <w:t xml:space="preserve"> or </w:t>
      </w:r>
      <w:r>
        <w:rPr>
          <w:rFonts w:ascii="Times New Roman" w:hAnsi="Times New Roman"/>
          <w:b w:val="false"/>
          <w:i/>
          <w:color w:val="000000"/>
          <w:sz w:val="22"/>
        </w:rPr>
        <w:t>“accidental means”</w:t>
      </w:r>
      <w:r>
        <w:rPr>
          <w:rFonts w:ascii="Times New Roman" w:hAnsi="Times New Roman"/>
          <w:b w:val="false"/>
          <w:i w:val="false"/>
          <w:color w:val="000000"/>
          <w:sz w:val="22"/>
        </w:rPr>
        <w:t xml:space="preserve"> shall be defined to employ “result” language and shall not include words which establish an accidental means test or use words such as “external, violent, visible wounds” or similar words of description or characterization.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definition shall not be more restrictive than the following: “Injury or injuries for which benefits are provided means accidental bodily injury sustained by the covered individual which is the direct result of an accident, independent of disease or bodily infirmity or any other cause, and occurs while insurance coverage is in force.”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Such definition may provide that injuries shall not include injuries for which benefits are provided or available under any workers’ compensation, employer’s liability or similar law, or motor vehicle no-fault plan, unless prohibited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“Benefit period”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“Medicare benefit period” </w:t>
      </w:r>
      <w:r>
        <w:rPr>
          <w:rFonts w:ascii="Times New Roman" w:hAnsi="Times New Roman"/>
          <w:b w:val="false"/>
          <w:i w:val="false"/>
          <w:color w:val="000000"/>
          <w:sz w:val="22"/>
        </w:rPr>
        <w:t>shall not be defined more restrictively than as defined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“Convalescent nursing home,” </w:t>
      </w:r>
      <w:r>
        <w:rPr>
          <w:rFonts w:ascii="Times New Roman" w:hAnsi="Times New Roman"/>
          <w:b w:val="false"/>
          <w:i/>
          <w:color w:val="000000"/>
          <w:sz w:val="22"/>
        </w:rPr>
        <w:t>“extended care facility,”</w:t>
      </w:r>
      <w:r>
        <w:rPr>
          <w:rFonts w:ascii="Times New Roman" w:hAnsi="Times New Roman"/>
          <w:b w:val="false"/>
          <w:i w:val="false"/>
          <w:color w:val="000000"/>
          <w:sz w:val="22"/>
        </w:rPr>
        <w:t xml:space="preserve"> or </w:t>
      </w:r>
      <w:r>
        <w:rPr>
          <w:rFonts w:ascii="Times New Roman" w:hAnsi="Times New Roman"/>
          <w:b w:val="false"/>
          <w:i/>
          <w:color w:val="000000"/>
          <w:sz w:val="22"/>
        </w:rPr>
        <w:t>“skilled nursing facility”</w:t>
      </w:r>
      <w:r>
        <w:rPr>
          <w:rFonts w:ascii="Times New Roman" w:hAnsi="Times New Roman"/>
          <w:b w:val="false"/>
          <w:i w:val="false"/>
          <w:color w:val="000000"/>
          <w:sz w:val="22"/>
        </w:rPr>
        <w:t xml:space="preserve"> shall not be defined more restrictively than as defined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may be defined in relation to its status, facilities and available services or to reflect its accreditation by the Joint Commission on Accreditation of Hospitals, but not more restrictively than as defined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w:t>
      </w:r>
      <w:r>
        <w:rPr>
          <w:rFonts w:ascii="Times New Roman" w:hAnsi="Times New Roman"/>
          <w:b w:val="false"/>
          <w:i w:val="false"/>
          <w:color w:val="000000"/>
          <w:sz w:val="22"/>
        </w:rPr>
        <w:t>shall be defined in the policy and certificate. Medicare may be substantially defined as “The Health Insurance for the Aged Act, Title XVIII of the Social Security Amendments of 1965 as then constituted or later amended,” or “Title I, Part I of Pub. L.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89-97, as Enacted by the Eighty-Ninth Congress of the United States of America and popularly known as the Health Insurance for the Aged Act, as then constituted and any later amendments or substitutes thereof,” or words of similar import.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“Medicare-eligible expenses” </w:t>
      </w:r>
      <w:r>
        <w:rPr>
          <w:rFonts w:ascii="Times New Roman" w:hAnsi="Times New Roman"/>
          <w:b w:val="false"/>
          <w:i w:val="false"/>
          <w:color w:val="000000"/>
          <w:sz w:val="22"/>
        </w:rPr>
        <w:t>shall mean expenses of the kinds covered by Medicare Parts A and B, to the extent recognized as reasonable and medically necessary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shall not be defined more restrictively than as defined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“Sickness” </w:t>
      </w:r>
      <w:r>
        <w:rPr>
          <w:rFonts w:ascii="Times New Roman" w:hAnsi="Times New Roman"/>
          <w:b w:val="false"/>
          <w:i w:val="false"/>
          <w:color w:val="000000"/>
          <w:sz w:val="22"/>
        </w:rPr>
        <w:t>shall not be defined to be more restrictive than the following: “Sickness means illness or disease of a covered individual which first manifests itself after the effective date of insurance and while the insurance is in force.” The definition may be further modified to exclude sicknesses or diseases for which benefits are provided under any workers’ compensation, occupational disease, employer’s liability or similar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191—37.5</w:t>
      </w:r>
      <w:r>
        <w:rPr>
          <w:rFonts w:ascii="Times New Roman" w:hAnsi="Times New Roman"/>
          <w:b/>
          <w:i w:val="false"/>
          <w:color w:val="000000"/>
          <w:sz w:val="22"/>
        </w:rPr>
        <w:t xml:space="preserve">(514D) </w:t>
      </w:r>
      <w:r>
        <w:rPr>
          <w:rFonts w:ascii="Times New Roman" w:hAnsi="Times New Roman"/>
          <w:b/>
          <w:i w:val="false"/>
          <w:color w:val="000000"/>
          <w:sz w:val="22"/>
        </w:rPr>
        <w:t xml:space="preserve">Policy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color w:val="000000"/>
          <w:sz w:val="22"/>
        </w:rPr>
        <w:t xml:space="preserve">Coverage restrictions related to Medicare. </w:t>
      </w:r>
      <w:r>
        <w:rPr>
          <w:rFonts w:ascii="Times New Roman" w:hAnsi="Times New Roman"/>
          <w:b w:val="false"/>
          <w:i w:val="false"/>
          <w:color w:val="000000"/>
          <w:sz w:val="22"/>
        </w:rPr>
        <w:t xml:space="preserve">Except for permitted preexisting condition clauses as described in paragraphs </w:t>
      </w:r>
      <w:hyperlink r:id="rId35">
        <w:r>
          <w:rPr>
            <w:rStyle w:val="Hyperlink"/>
            <w:rFonts w:ascii="Times New Roman" w:hAnsi="Times New Roman"/>
            <w:b w:val="false"/>
            <w:i w:val="false"/>
            <w:color w:val="000000"/>
            <w:sz w:val="22"/>
          </w:rPr>
          <w:t>37.6(1)</w:t>
        </w:r>
      </w:hyperlink>
      <w:r>
        <w:rPr>
          <w:rFonts w:ascii="Times New Roman" w:hAnsi="Times New Roman"/>
          <w:b w:val="false"/>
          <w:i/>
          <w:color w:val="000000"/>
          <w:sz w:val="22"/>
        </w:rPr>
        <w:t>“a,”</w:t>
      </w:r>
      <w:r>
        <w:rPr>
          <w:rFonts w:ascii="Times New Roman" w:hAnsi="Times New Roman"/>
          <w:b w:val="false"/>
          <w:i w:val="false"/>
          <w:color w:val="000000"/>
          <w:sz w:val="22"/>
        </w:rPr>
        <w:t> </w:t>
      </w:r>
      <w:hyperlink r:id="rId36">
        <w:r>
          <w:rPr>
            <w:rStyle w:val="Hyperlink"/>
            <w:rFonts w:ascii="Times New Roman" w:hAnsi="Times New Roman"/>
            <w:b w:val="false"/>
            <w:i w:val="false"/>
            <w:color w:val="000000"/>
            <w:sz w:val="22"/>
          </w:rPr>
          <w:t>37.7(1)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37.8(1)</w:t>
        </w:r>
      </w:hyperlink>
      <w:r>
        <w:rPr>
          <w:rFonts w:ascii="Times New Roman" w:hAnsi="Times New Roman"/>
          <w:b w:val="false"/>
          <w:i/>
          <w:color w:val="000000"/>
          <w:sz w:val="22"/>
        </w:rPr>
        <w:t>“d,”</w:t>
      </w:r>
      <w:r>
        <w:rPr>
          <w:rFonts w:ascii="Times New Roman" w:hAnsi="Times New Roman"/>
          <w:b w:val="false"/>
          <w:i w:val="false"/>
          <w:color w:val="000000"/>
          <w:sz w:val="22"/>
        </w:rPr>
        <w:t xml:space="preserve"> no policy or certificate may be advertised, solicited or issued for delivery in this state as a Medicare supplement policy or certificate if such Medicare supplement policy or certificate contains limitations or exclusions on coverage that are more restrictive than those permitted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color w:val="000000"/>
          <w:sz w:val="22"/>
        </w:rPr>
        <w:t xml:space="preserve">Waivers of preexisting conditions. </w:t>
      </w:r>
      <w:r>
        <w:rPr>
          <w:rFonts w:ascii="Times New Roman" w:hAnsi="Times New Roman"/>
          <w:b w:val="false"/>
          <w:i w:val="false"/>
          <w:color w:val="000000"/>
          <w:sz w:val="22"/>
        </w:rPr>
        <w:t>No Medicare supplement policy or certificate may use waivers to exclude, limit or reduce coverage or benefits for specifically named or described preexisting diseases or physical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color w:val="000000"/>
          <w:sz w:val="22"/>
        </w:rPr>
        <w:t xml:space="preserve">Duplicate benefits. </w:t>
      </w:r>
      <w:r>
        <w:rPr>
          <w:rFonts w:ascii="Times New Roman" w:hAnsi="Times New Roman"/>
          <w:b w:val="false"/>
          <w:i w:val="false"/>
          <w:color w:val="000000"/>
          <w:sz w:val="22"/>
        </w:rPr>
        <w:t>No Medicare supplement policy or certificate in force in the state shall contain benefits which duplicate benefits provided by Medicare insurance.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37.5(4)</w:t>
      </w:r>
      <w:r>
        <w:rPr>
          <w:rFonts w:ascii="Times New Roman" w:hAnsi="Times New Roman"/>
          <w:b w:val="false"/>
          <w:i w:val="false"/>
          <w:color w:val="000000"/>
          <w:sz w:val="22"/>
        </w:rPr>
        <w:t> </w:t>
      </w:r>
      <w:r>
        <w:rPr>
          <w:rFonts w:ascii="Times New Roman" w:hAnsi="Times New Roman"/>
          <w:b w:val="false"/>
          <w:i/>
          <w:color w:val="000000"/>
          <w:sz w:val="22"/>
        </w:rPr>
        <w:t xml:space="preserve">Renewal of pre-2006 coverage. </w:t>
      </w:r>
      <w:r>
        <w:rPr>
          <w:rFonts w:ascii="Times New Roman" w:hAnsi="Times New Roman"/>
          <w:b w:val="false"/>
          <w:i w:val="false"/>
          <w:color w:val="000000"/>
          <w:sz w:val="22"/>
        </w:rPr>
        <w:t xml:space="preserve">Subject to paragraphs </w:t>
      </w:r>
      <w:hyperlink r:id="rId38">
        <w:r>
          <w:rPr>
            <w:rStyle w:val="Hyperlink"/>
            <w:rFonts w:ascii="Times New Roman" w:hAnsi="Times New Roman"/>
            <w:b w:val="false"/>
            <w:i w:val="false"/>
            <w:color w:val="000000"/>
            <w:sz w:val="22"/>
          </w:rPr>
          <w:t>37.6(1)</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“g”</w:t>
      </w:r>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37.7(1)</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r>
        <w:rPr>
          <w:rFonts w:ascii="Times New Roman" w:hAnsi="Times New Roman"/>
          <w:b w:val="false"/>
          <w:i w:val="false"/>
          <w:color w:val="000000"/>
          <w:sz w:val="22"/>
        </w:rPr>
        <w:t xml:space="preserve"> a Medicare supplement policy or certificate with benefits for outpatient prescription drugs in existence prior to January 1, 2006, shall, at the option of a currently covered individual who does not enroll in Medicare Part D, be renewed for that covered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37.5(5)</w:t>
      </w:r>
      <w:r>
        <w:rPr>
          <w:rFonts w:ascii="Times New Roman" w:hAnsi="Times New Roman"/>
          <w:b w:val="false"/>
          <w:i w:val="false"/>
          <w:color w:val="000000"/>
          <w:sz w:val="22"/>
        </w:rPr>
        <w:t> </w:t>
      </w:r>
      <w:r>
        <w:rPr>
          <w:rFonts w:ascii="Times New Roman" w:hAnsi="Times New Roman"/>
          <w:b w:val="false"/>
          <w:i/>
          <w:color w:val="000000"/>
          <w:sz w:val="22"/>
        </w:rPr>
        <w:t xml:space="preserve">Coverage of prescription drugs after 2005. </w:t>
      </w:r>
      <w:r>
        <w:rPr>
          <w:rFonts w:ascii="Times New Roman" w:hAnsi="Times New Roman"/>
          <w:b w:val="false"/>
          <w:i w:val="false"/>
          <w:color w:val="000000"/>
          <w:sz w:val="22"/>
        </w:rPr>
        <w:t>A Medicare supplement policy or certificate with benefits for outpatient prescription drugs shall not be issued after December 31,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37.5(6)</w:t>
      </w:r>
      <w:r>
        <w:rPr>
          <w:rFonts w:ascii="Times New Roman" w:hAnsi="Times New Roman"/>
          <w:b w:val="false"/>
          <w:i w:val="false"/>
          <w:color w:val="000000"/>
          <w:sz w:val="22"/>
        </w:rPr>
        <w:t> </w:t>
      </w:r>
      <w:r>
        <w:rPr>
          <w:rFonts w:ascii="Times New Roman" w:hAnsi="Times New Roman"/>
          <w:b w:val="false"/>
          <w:i/>
          <w:color w:val="000000"/>
          <w:sz w:val="22"/>
        </w:rPr>
        <w:t xml:space="preserve">Renewal of coverage of prescription drugs after 2005 for enrollees of Part D. </w:t>
      </w:r>
      <w:r>
        <w:rPr>
          <w:rFonts w:ascii="Times New Roman" w:hAnsi="Times New Roman"/>
          <w:b w:val="false"/>
          <w:i w:val="false"/>
          <w:color w:val="000000"/>
          <w:sz w:val="22"/>
        </w:rPr>
        <w:t>After December 31, 2005, a Medicare supplement policy or certificate with benefits for outpatient prescription drugs may not be renewed after the covered individual enrolls in Medicare Part D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policy or certificate is modified to eliminate outpatient prescription coverage for expenses of outpatient prescription drugs incurred after the effective date of the covered individual’s coverage under a Medicare Part D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Premiums are adjusted to reflect the elimination of outpatient prescription drug coverage at the time of Medicare Part D enrollment, accounting for any claims paid, if applicable.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191—37.6</w:t>
      </w:r>
      <w:r>
        <w:rPr>
          <w:rFonts w:ascii="Times New Roman" w:hAnsi="Times New Roman"/>
          <w:b/>
          <w:i w:val="false"/>
          <w:color w:val="000000"/>
          <w:sz w:val="22"/>
        </w:rPr>
        <w:t xml:space="preserve">(514D) </w:t>
      </w:r>
      <w:r>
        <w:rPr>
          <w:rFonts w:ascii="Times New Roman" w:hAnsi="Times New Roman"/>
          <w:b/>
          <w:i w:val="false"/>
          <w:color w:val="000000"/>
          <w:sz w:val="22"/>
        </w:rPr>
        <w:t xml:space="preserve">Minimum benefit standards for prestandardized Medicare supplement benefit plan policies or certificates issued for delivery prior to January 1, 1992 (prestandardized plans). </w:t>
      </w:r>
      <w:r>
        <w:rPr>
          <w:rFonts w:ascii="Times New Roman" w:hAnsi="Times New Roman"/>
          <w:b w:val="false"/>
          <w:i w:val="false"/>
          <w:color w:val="000000"/>
          <w:sz w:val="22"/>
        </w:rPr>
        <w:t>No policy or certificate may be advertised, solicited or issued for delivery in this state as a prestandardized plan policy or certificate unless it meets or exceeds the following minimum standards. These are minimum standards and do not preclude the inclusion of other provisions or benefits which are not inconsistent with these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color w:val="000000"/>
          <w:sz w:val="22"/>
        </w:rPr>
        <w:t xml:space="preserve">General standards. </w:t>
      </w:r>
      <w:r>
        <w:rPr>
          <w:rFonts w:ascii="Times New Roman" w:hAnsi="Times New Roman"/>
          <w:b w:val="false"/>
          <w:i w:val="false"/>
          <w:color w:val="000000"/>
          <w:sz w:val="22"/>
        </w:rPr>
        <w:t>The following standards apply to prestandardized plans and are in addition to all other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prestandardized plan shall not exclude or limit benefits for losses incurred more than six months from the effective date of coverage because it involved a preexisting condition. The prestandardized plan shall not define a preexisting condition more restrictively than a condition for which medical advice was given or treatment was recommended by or received from a physician within six months before the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prestandardized plan shall not indemnify against losses resulting from sickness on a different basis than losses resulting from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prestandardized plan shall provide that benefits designed to cover cost-sharing amounts under Medicare will be changed automatically to coincide with any changes in the applicable Medicare deductible, copayment, or coinsurance amounts. Premiums may be modified to correspond with such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“noncancelable,” “guaranteed renewable,” or “noncancelable and guaranteed renewable” prestandardized plan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for termination of coverage of a spouse of a group member solely because of the occurrence of an event specified for termination of coverage of the group member, other than the nonpayment of premium;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canceled or nonrenewed by the issuer solely on the grounds of deterioration of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Except as authorized by the commissioner, an issuer shall neither cancel nor nonrenew a prestandardized plan policy or certificate for any reason other than nonpayment of premium or material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Group Medicare supplement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group prestandardized plan is terminated by the group policyholder and not replaced as provided in </w:t>
      </w:r>
      <w:hyperlink r:id="rId40">
        <w:r>
          <w:rPr>
            <w:rStyle w:val="Hyperlink"/>
            <w:rFonts w:ascii="Times New Roman" w:hAnsi="Times New Roman"/>
            <w:b w:val="false"/>
            <w:i w:val="false"/>
            <w:color w:val="000000"/>
            <w:sz w:val="22"/>
          </w:rPr>
          <w:t>subparagraph 37.6(1)</w:t>
        </w:r>
      </w:hyperlink>
      <w:r>
        <w:rPr>
          <w:rFonts w:ascii="Times New Roman" w:hAnsi="Times New Roman"/>
          <w:b w:val="false"/>
          <w:i/>
          <w:color w:val="000000"/>
          <w:sz w:val="22"/>
        </w:rPr>
        <w:t>“f”</w:t>
      </w:r>
      <w:r>
        <w:rPr>
          <w:rFonts w:ascii="Times New Roman" w:hAnsi="Times New Roman"/>
          <w:b w:val="false"/>
          <w:i w:val="false"/>
          <w:color w:val="000000"/>
          <w:sz w:val="22"/>
        </w:rPr>
        <w:t>(3), the issuer shall offer to each of the covered individuals under the group prestandardized plan an individual Medicare supplement policy. The issuer shall offer each of the group prestandardized plan’s covered individuals at least the following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individual Medicare supplement policy currently offered by the issuer having comparable benefits to those contained in the terminated group prestandardized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Medicare supplement policy which provides only such benefits as are required to meet the basic core benefits minimum standards as defined in </w:t>
      </w:r>
      <w:hyperlink r:id="rId41">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covered individual’s membership with the group entity that is the group policyholder is terminated, the issuer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Offer the covered individual such conversion opportunities as are described in </w:t>
      </w:r>
      <w:hyperlink r:id="rId42">
        <w:r>
          <w:rPr>
            <w:rStyle w:val="Hyperlink"/>
            <w:rFonts w:ascii="Times New Roman" w:hAnsi="Times New Roman"/>
            <w:b w:val="false"/>
            <w:i w:val="false"/>
            <w:color w:val="000000"/>
            <w:sz w:val="22"/>
          </w:rPr>
          <w:t>subparagraph 37.6(1)</w:t>
        </w:r>
      </w:hyperlink>
      <w:r>
        <w:rPr>
          <w:rFonts w:ascii="Times New Roman" w:hAnsi="Times New Roman"/>
          <w:b w:val="false"/>
          <w:i/>
          <w:color w:val="000000"/>
          <w:sz w:val="22"/>
        </w:rPr>
        <w:t>“f”</w:t>
      </w:r>
      <w:r>
        <w:rPr>
          <w:rFonts w:ascii="Times New Roman" w:hAnsi="Times New Roman"/>
          <w:b w:val="false"/>
          <w:i w:val="false"/>
          <w:color w:val="000000"/>
          <w:sz w:val="22"/>
        </w:rPr>
        <w:t>(1);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option of the group policyholder, offer the covered individual continuation of coverage under the group prestandardized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 group prestandardized plan is replaced by another group Medicare supplement policy purchased by the same group policyholder, the issuer of the replacement group Medicare supplement policy shall offer coverage to all covered individuals under the replaced group prestandardized plan on its date of termination. Coverage under the new replacement group Medicare supplement policy shall not result in any exclusion for preexisting conditions that would have been covered under the replaced group prestandardized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prestandardized plan eliminates an outpatient prescription drug benefit as a result of requirements imposed by the MMA, the modified policy shall be deemed to satisfy the guaranteed renewal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Termination of a prestandardized plan policy or certificate shall be without prejudice to any continuous loss which commenced while the prestandardized plan policy or certificate was in force, but the extension of benefits beyond the period during which the prestandardized plan policy or certificate was in force may be predicated upon the continuous total disability of the covered individual, limited to the duration of the prestandardized plan policy or certificate benefit period, if any, or to payment of the maximum benefits. Receipt of Medicare Part D benefits will not be considered in determining a continuous loss.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color w:val="000000"/>
          <w:sz w:val="22"/>
        </w:rPr>
        <w:t xml:space="preserve">Minimum benefit standards. </w:t>
      </w:r>
      <w:r>
        <w:rPr>
          <w:rFonts w:ascii="Times New Roman" w:hAnsi="Times New Roman"/>
          <w:b w:val="false"/>
          <w:i w:val="false"/>
          <w:color w:val="000000"/>
          <w:sz w:val="22"/>
        </w:rPr>
        <w:t>The following are minimum benefit standards for prestandardized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of Part A Medicare-eligible expenses for hospitalization to the extent not covered by Medicare from the sixty-first day through the ninetieth day in any Medicare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for either all or none of the Medicare Part A inpatient hospital deductible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Coverage of Part A Medicare-eligible expenses which are incurred as daily hospital charges during the covered individual’s use of Medicare’s lifetime hospital inpatient reserve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exhaustion of all Medicare hospital inpatient coverage including the lifetime reserve days, coverage of 90 percent of all Medicare Part A eligible expenses for hospitalization not covered by Medicare subject to a lifetime maximum benefit of an additional 365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under Medicare Part A for the reasonable cost of the first three pints of blood (or equivalent quantities of packed red blood cells, as defined under federal regulations) unless replaced in accordance with federal regulations or already paid for under Part 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Coverage for the coinsurance amount, or in the case of hospital outpatient department services paid under a PPS, the copayment amount, of Medicare-eligible expenses under Part B regardless of hospital confinement, subject to a maximum calendar year out-of-pocket amount equal to the Medicare Part B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1990, coverage under Medicare Part B for the reasonable cost of the first three pints of blood (or equivalent quantities of packed red blood cells, as defined under federal regulations), unless replaced in accordance with federal regulations or already paid for under Part A, subject to the Medicare deductible amount.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191—37.7</w:t>
      </w:r>
      <w:r>
        <w:rPr>
          <w:rFonts w:ascii="Times New Roman" w:hAnsi="Times New Roman"/>
          <w:b/>
          <w:i w:val="false"/>
          <w:color w:val="000000"/>
          <w:sz w:val="22"/>
        </w:rPr>
        <w:t xml:space="preserve">(514D) </w:t>
      </w:r>
      <w:r>
        <w:rPr>
          <w:rFonts w:ascii="Times New Roman" w:hAnsi="Times New Roman"/>
          <w:b/>
          <w:i w:val="false"/>
          <w:color w:val="000000"/>
          <w:sz w:val="22"/>
        </w:rPr>
        <w:t xml:space="preserve">Benefit standards for 1990 standardized Medicare supplement benefit plan policies or certificates issued for delivery on or after January 1, 1992, and with an effective date for coverage prior to June 1, 2010 (1990 plans). </w:t>
      </w:r>
      <w:r>
        <w:rPr>
          <w:rFonts w:ascii="Times New Roman" w:hAnsi="Times New Roman"/>
          <w:b w:val="false"/>
          <w:i w:val="false"/>
          <w:color w:val="000000"/>
          <w:sz w:val="22"/>
        </w:rPr>
        <w:t xml:space="preserve">The following standards are applicable to all Medicare supplement policies or certificates delivered or issued for delivery in this state on or after January 1, 1992, and with an effective date for coverage prior to June 1, 2010. No policy or certificate may be advertised, solicited, delivered or issued for delivery in this state as a Medicare supplement policy or certificate unless it complies with these benefit standards. No issuer may offer any prestandardized Medicare supplement benefit plan for sale on or after January 1, 1992. Benefit standards applicable to Medicare supplement policies and certificates issued before January 1, 1992, remain subject to the requirements of rule </w:t>
      </w:r>
      <w:hyperlink r:id="rId43">
        <w:r>
          <w:rPr>
            <w:rStyle w:val="Hyperlink"/>
            <w:rFonts w:ascii="Times New Roman" w:hAnsi="Times New Roman"/>
            <w:b w:val="false"/>
            <w:i w:val="false"/>
            <w:color w:val="000000"/>
            <w:sz w:val="22"/>
          </w:rPr>
          <w:t>191—37.6</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37.7(1)</w:t>
      </w:r>
      <w:r>
        <w:rPr>
          <w:rFonts w:ascii="Times New Roman" w:hAnsi="Times New Roman"/>
          <w:b w:val="false"/>
          <w:i w:val="false"/>
          <w:color w:val="000000"/>
          <w:sz w:val="22"/>
        </w:rPr>
        <w:t> </w:t>
      </w:r>
      <w:r>
        <w:rPr>
          <w:rFonts w:ascii="Times New Roman" w:hAnsi="Times New Roman"/>
          <w:b w:val="false"/>
          <w:i/>
          <w:color w:val="000000"/>
          <w:sz w:val="22"/>
        </w:rPr>
        <w:t xml:space="preserve">General standards. </w:t>
      </w:r>
      <w:r>
        <w:rPr>
          <w:rFonts w:ascii="Times New Roman" w:hAnsi="Times New Roman"/>
          <w:b w:val="false"/>
          <w:i w:val="false"/>
          <w:color w:val="000000"/>
          <w:sz w:val="22"/>
        </w:rPr>
        <w:t>The following standards apply to 1990 plans and are in addition to all other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Combinations of benefits other than standard not allowed. </w:t>
      </w:r>
      <w:r>
        <w:rPr>
          <w:rFonts w:ascii="Times New Roman" w:hAnsi="Times New Roman"/>
          <w:b w:val="false"/>
          <w:i w:val="false"/>
          <w:color w:val="000000"/>
          <w:sz w:val="22"/>
        </w:rPr>
        <w:t xml:space="preserve">No groups, packages or combinations of Medicare supplement benefits other than those listed in this rule shall be offered for sale in this state, except as may be permitted in </w:t>
      </w:r>
      <w:hyperlink r:id="rId44">
        <w:r>
          <w:rPr>
            <w:rStyle w:val="Hyperlink"/>
            <w:rFonts w:ascii="Times New Roman" w:hAnsi="Times New Roman"/>
            <w:b w:val="false"/>
            <w:i w:val="false"/>
            <w:color w:val="000000"/>
            <w:sz w:val="22"/>
          </w:rPr>
          <w:t>subrule 37.7(6)</w:t>
        </w:r>
      </w:hyperlink>
      <w:r>
        <w:rPr>
          <w:rFonts w:ascii="Times New Roman" w:hAnsi="Times New Roman"/>
          <w:b w:val="false"/>
          <w:i w:val="false"/>
          <w:color w:val="000000"/>
          <w:sz w:val="22"/>
        </w:rPr>
        <w:t xml:space="preserve"> and in rule </w:t>
      </w:r>
      <w:hyperlink r:id="rId45">
        <w:r>
          <w:rPr>
            <w:rStyle w:val="Hyperlink"/>
            <w:rFonts w:ascii="Times New Roman" w:hAnsi="Times New Roman"/>
            <w:b w:val="false"/>
            <w:i w:val="false"/>
            <w:color w:val="000000"/>
            <w:sz w:val="22"/>
          </w:rPr>
          <w:t>191—37.20</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Uniformity and conformity. </w:t>
      </w:r>
      <w:r>
        <w:rPr>
          <w:rFonts w:ascii="Times New Roman" w:hAnsi="Times New Roman"/>
          <w:b w:val="false"/>
          <w:i w:val="false"/>
          <w:color w:val="000000"/>
          <w:sz w:val="22"/>
        </w:rPr>
        <w:t xml:space="preserve">All 1990 plans shall be uniform in structure, language, designation and format to the standardized Medicare supplement benefit plans A through L listed in </w:t>
      </w:r>
      <w:hyperlink r:id="rId46">
        <w:r>
          <w:rPr>
            <w:rStyle w:val="Hyperlink"/>
            <w:rFonts w:ascii="Times New Roman" w:hAnsi="Times New Roman"/>
            <w:b w:val="false"/>
            <w:i w:val="false"/>
            <w:color w:val="000000"/>
            <w:sz w:val="22"/>
          </w:rPr>
          <w:t>subrule 37.7(4)</w:t>
        </w:r>
      </w:hyperlink>
      <w:r>
        <w:rPr>
          <w:rFonts w:ascii="Times New Roman" w:hAnsi="Times New Roman"/>
          <w:b w:val="false"/>
          <w:i w:val="false"/>
          <w:color w:val="000000"/>
          <w:sz w:val="22"/>
        </w:rPr>
        <w:t xml:space="preserve"> and shall conform to the definitions in rules </w:t>
      </w:r>
      <w:hyperlink r:id="rId47">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 xml:space="preserve">(514D) and </w:t>
      </w:r>
      <w:hyperlink r:id="rId48">
        <w:r>
          <w:rPr>
            <w:rStyle w:val="Hyperlink"/>
            <w:rFonts w:ascii="Times New Roman" w:hAnsi="Times New Roman"/>
            <w:b w:val="false"/>
            <w:i w:val="false"/>
            <w:color w:val="000000"/>
            <w:sz w:val="22"/>
          </w:rPr>
          <w:t>191—37.4</w:t>
        </w:r>
      </w:hyperlink>
      <w:r>
        <w:rPr>
          <w:rFonts w:ascii="Times New Roman" w:hAnsi="Times New Roman"/>
          <w:b w:val="false"/>
          <w:i w:val="false"/>
          <w:color w:val="000000"/>
          <w:sz w:val="22"/>
        </w:rPr>
        <w:t>(514D). Each benefit shall be structured in accordance with the format provided in this rule and list the benefits in the order shown in this rule. For purposes of this rule, “structure, language, and format” means style, arrangement and overall content of a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designations may be used. </w:t>
      </w:r>
      <w:r>
        <w:rPr>
          <w:rFonts w:ascii="Times New Roman" w:hAnsi="Times New Roman"/>
          <w:b w:val="false"/>
          <w:i w:val="false"/>
          <w:color w:val="000000"/>
          <w:sz w:val="22"/>
        </w:rPr>
        <w:t xml:space="preserve">An issuer may use, in addition to the benefit plan designations required in </w:t>
      </w:r>
      <w:hyperlink r:id="rId49">
        <w:r>
          <w:rPr>
            <w:rStyle w:val="Hyperlink"/>
            <w:rFonts w:ascii="Times New Roman" w:hAnsi="Times New Roman"/>
            <w:b w:val="false"/>
            <w:i w:val="false"/>
            <w:color w:val="000000"/>
            <w:sz w:val="22"/>
          </w:rPr>
          <w:t>paragraph 37.7(1)</w:t>
        </w:r>
      </w:hyperlink>
      <w:r>
        <w:rPr>
          <w:rFonts w:ascii="Times New Roman" w:hAnsi="Times New Roman"/>
          <w:b w:val="false"/>
          <w:i/>
          <w:color w:val="000000"/>
          <w:sz w:val="22"/>
        </w:rPr>
        <w:t>“b,”</w:t>
      </w:r>
      <w:r>
        <w:rPr>
          <w:rFonts w:ascii="Times New Roman" w:hAnsi="Times New Roman"/>
          <w:b w:val="false"/>
          <w:i w:val="false"/>
          <w:color w:val="000000"/>
          <w:sz w:val="22"/>
        </w:rPr>
        <w:t xml:space="preserve"> other designations to the extent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Preexisting conditions. </w:t>
      </w:r>
      <w:r>
        <w:rPr>
          <w:rFonts w:ascii="Times New Roman" w:hAnsi="Times New Roman"/>
          <w:b w:val="false"/>
          <w:i w:val="false"/>
          <w:color w:val="000000"/>
          <w:sz w:val="22"/>
        </w:rPr>
        <w:t>A 1990 plan shall not exclude or limit benefits for losses incurred more than six months from the effective date of coverage because the claim involved a preexisting condition. The 1990 plan may not define a preexisting condition more restrictively than a condition for which medical advice was given or treatment was recommended by or received from a physician within six months before the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Sickness same as accident. </w:t>
      </w:r>
      <w:r>
        <w:rPr>
          <w:rFonts w:ascii="Times New Roman" w:hAnsi="Times New Roman"/>
          <w:b w:val="false"/>
          <w:i w:val="false"/>
          <w:color w:val="000000"/>
          <w:sz w:val="22"/>
        </w:rPr>
        <w:t>A 1990 plan shall not indemnify against losses resulting from sickness on a different basis than losses resulting from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Automatic change of cost sharing. </w:t>
      </w:r>
      <w:r>
        <w:rPr>
          <w:rFonts w:ascii="Times New Roman" w:hAnsi="Times New Roman"/>
          <w:b w:val="false"/>
          <w:i w:val="false"/>
          <w:color w:val="000000"/>
          <w:sz w:val="22"/>
        </w:rPr>
        <w:t>A 1990 plan shall provide that benefits designed to cover cost-sharing amounts under Medicare will be changed automatically to coincide with any changes in the applicable deductible, copayment, or coinsurance amounts set by Medicare. Premiums may be modified to correspond with such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coverage of spouse. </w:t>
      </w:r>
      <w:r>
        <w:rPr>
          <w:rFonts w:ascii="Times New Roman" w:hAnsi="Times New Roman"/>
          <w:b w:val="false"/>
          <w:i w:val="false"/>
          <w:color w:val="000000"/>
          <w:sz w:val="22"/>
        </w:rPr>
        <w:t>No 1990 plan shall provide for termination of coverage of a spouse solely because of the occurrence of an event specified for termination of coverage of the insured, other than the nonpayment of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Guaranteed renewability. </w:t>
      </w:r>
      <w:r>
        <w:rPr>
          <w:rFonts w:ascii="Times New Roman" w:hAnsi="Times New Roman"/>
          <w:b w:val="false"/>
          <w:i w:val="false"/>
          <w:color w:val="000000"/>
          <w:sz w:val="22"/>
        </w:rPr>
        <w:t>Each 1990 plan shall be guaranteed renewable.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 shall not cancel or nonrenew a 1990 plan solely on the ground of health status of the covered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 shall not cancel or nonrenew a 1990 plan for any reason other than nonpayment of premium or material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1990 plan is terminated by the group policyholder and is not replaced as provided under </w:t>
      </w:r>
      <w:hyperlink r:id="rId50">
        <w:r>
          <w:rPr>
            <w:rStyle w:val="Hyperlink"/>
            <w:rFonts w:ascii="Times New Roman" w:hAnsi="Times New Roman"/>
            <w:b w:val="false"/>
            <w:i w:val="false"/>
            <w:color w:val="000000"/>
            <w:sz w:val="22"/>
          </w:rPr>
          <w:t>subparagraph 37.7(1)</w:t>
        </w:r>
      </w:hyperlink>
      <w:r>
        <w:rPr>
          <w:rFonts w:ascii="Times New Roman" w:hAnsi="Times New Roman"/>
          <w:b w:val="false"/>
          <w:i/>
          <w:color w:val="000000"/>
          <w:sz w:val="22"/>
        </w:rPr>
        <w:t>“h”</w:t>
      </w:r>
      <w:r>
        <w:rPr>
          <w:rFonts w:ascii="Times New Roman" w:hAnsi="Times New Roman"/>
          <w:b w:val="false"/>
          <w:i w:val="false"/>
          <w:color w:val="000000"/>
          <w:sz w:val="22"/>
        </w:rPr>
        <w:t>(5), the issuer shall offer to the covered individual a conversion opportunity of an individual Medicare supplement policy which, at the option of the covered individual,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for continuation of the benefits contained in the group 1990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for such benefits as otherwise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covered individual under a group 1990 plan terminates membership in the group, the issuer shall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Offer the covered individual the conversion opportunity described in </w:t>
      </w:r>
      <w:hyperlink r:id="rId51">
        <w:r>
          <w:rPr>
            <w:rStyle w:val="Hyperlink"/>
            <w:rFonts w:ascii="Times New Roman" w:hAnsi="Times New Roman"/>
            <w:b w:val="false"/>
            <w:i w:val="false"/>
            <w:color w:val="000000"/>
            <w:sz w:val="22"/>
          </w:rPr>
          <w:t>subparagraph 37.7(1)</w:t>
        </w:r>
      </w:hyperlink>
      <w:r>
        <w:rPr>
          <w:rFonts w:ascii="Times New Roman" w:hAnsi="Times New Roman"/>
          <w:b w:val="false"/>
          <w:i/>
          <w:color w:val="000000"/>
          <w:sz w:val="22"/>
        </w:rPr>
        <w:t>“h”</w:t>
      </w:r>
      <w:r>
        <w:rPr>
          <w:rFonts w:ascii="Times New Roman" w:hAnsi="Times New Roman"/>
          <w:b w:val="false"/>
          <w:i w:val="false"/>
          <w:color w:val="000000"/>
          <w:sz w:val="22"/>
        </w:rPr>
        <w:t>(3);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option of the group policyholder, offer the covered individual continuation of coverage under the group Medicare supplement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group 1990 plan is replaced by another group Medicare supplement policy purchased by the same group policyholder, the issuer of the replacement group Medicare supplement policy shall offer coverage under the replacement group Medicare supplement policy to all covered individuals of the replaced group 1990 plan effective on the date of termination of the replaced group 1990 plan. Coverage under the replacement group Medicare supplement policy shall not result in any exclusion of any covered individual’s preexisting conditions that would have been covered under the replaced group 1990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1990 plan eliminates an outpatient prescription drug benefit as a result of requirements imposed by the MMA, the modified 1990 plan shall be deemed to satisfy the guaranteed renewal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Termination involving continuous loss. </w:t>
      </w:r>
      <w:r>
        <w:rPr>
          <w:rFonts w:ascii="Times New Roman" w:hAnsi="Times New Roman"/>
          <w:b w:val="false"/>
          <w:i w:val="false"/>
          <w:color w:val="000000"/>
          <w:sz w:val="22"/>
        </w:rPr>
        <w:t>Termination of a 1990 plan shall be without prejudice to any continuous loss which commenced while the 1990 plan was in force, but the extension of benefits beyond the period during which the 1990 plan was in force may be conditioned upon the continuous total disability of the covered individual, limited to the duration of the 1990 plan benefit period, if any, or payment of the maximum benefits. Receipt of Medicare Part D benefits will not be considered in determining a continuous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Suspension for Title XIX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1990 plan shall provide that benefits and premiums under the 1990 plan shall be suspended at the request of the covered individual for the period (not to exceed 24 months) in which the covered individual has applied for and is determined to be entitled to medical assistance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but only if the covered individual notifies the issuer of such 1990 plan within 90 days after the date the covered individual becomes entitled to such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suspension occurs and if the covered individual loses entitlement to such medical assistance, such 1990 plan shall be automatically reinstituted (effective as of the date of termination of such entitlement) if the covered individual provides notice of loss of such entitlement within 90 days after the date of such loss and pays the premium attributable to the period, effective as of the date of termination of such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1990 plan shall provide that benefits and premiums under the 1990 plan shall be suspended for the period provided by federal regulation at the request of the covered individual if the covered individual is entitled to benefits under </w:t>
      </w:r>
      <w:r>
        <w:rPr>
          <w:rFonts w:ascii="Times New Roman" w:hAnsi="Times New Roman"/>
          <w:b w:val="false"/>
          <w:i w:val="false"/>
          <w:color w:val="000000"/>
          <w:sz w:val="22"/>
        </w:rPr>
        <w:t>Section 226(b) of the Social Security Act</w:t>
      </w:r>
      <w:r>
        <w:rPr>
          <w:rFonts w:ascii="Times New Roman" w:hAnsi="Times New Roman"/>
          <w:b w:val="false"/>
          <w:i w:val="false"/>
          <w:color w:val="000000"/>
          <w:sz w:val="22"/>
        </w:rPr>
        <w:t xml:space="preserve"> and is covered under a group health plan as defined in </w:t>
      </w:r>
      <w:r>
        <w:rPr>
          <w:rFonts w:ascii="Times New Roman" w:hAnsi="Times New Roman"/>
          <w:b w:val="false"/>
          <w:i w:val="false"/>
          <w:color w:val="000000"/>
          <w:sz w:val="22"/>
        </w:rPr>
        <w:t>Section 1862(b)(1)(A)(v) of the Social Security Act</w:t>
      </w:r>
      <w:r>
        <w:rPr>
          <w:rFonts w:ascii="Times New Roman" w:hAnsi="Times New Roman"/>
          <w:b w:val="false"/>
          <w:i w:val="false"/>
          <w:color w:val="000000"/>
          <w:sz w:val="22"/>
        </w:rPr>
        <w:t>. If suspension occurs and if the covered individual loses coverage under the group health plan, the 1990 plan shall be automatically reinstituted effective as of the date of loss of coverage if the covered individual provides notice to the issuer of loss of coverage within 90 days after the date of such loss and pays the premium attributable to the period, effective as of the date of termination of enrollment in the group health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Reinstitution of coverage as described in subparagraphs </w:t>
      </w:r>
      <w:hyperlink r:id="rId52">
        <w:r>
          <w:rPr>
            <w:rStyle w:val="Hyperlink"/>
            <w:rFonts w:ascii="Times New Roman" w:hAnsi="Times New Roman"/>
            <w:b w:val="false"/>
            <w:i w:val="false"/>
            <w:color w:val="000000"/>
            <w:sz w:val="22"/>
          </w:rPr>
          <w:t>37.7(1)</w:t>
        </w:r>
      </w:hyperlink>
      <w:r>
        <w:rPr>
          <w:rFonts w:ascii="Times New Roman" w:hAnsi="Times New Roman"/>
          <w:b w:val="false"/>
          <w:i/>
          <w:color w:val="000000"/>
          <w:sz w:val="22"/>
        </w:rPr>
        <w:t>“j”</w:t>
      </w:r>
      <w:r>
        <w:rPr>
          <w:rFonts w:ascii="Times New Roman" w:hAnsi="Times New Roman"/>
          <w:b w:val="false"/>
          <w:i w:val="false"/>
          <w:color w:val="000000"/>
          <w:sz w:val="22"/>
        </w:rPr>
        <w:t>(2)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not provide for any waiting period with respect to treatment of preexisting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provide for resumption of coverage that is substantially equivalent to coverage in effect before the date of suspension. If the suspended 1990 plan provided coverage for outpatient prescription drugs, reinstitution of the 1990 plan for Medicare Part D enrollees shall be without coverage for outpatient prescription drugs and shall otherwise provide substantially equivalent coverage to the coverage in effect before the date of suspension;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provide for classification of premiums on terms at least as favorable to the covered individual as the premium classification terms that would have applied to the covered individual had the coverage not been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Exchange of 1990 plan to 2010 plan. </w:t>
      </w:r>
      <w:r>
        <w:rPr>
          <w:rFonts w:ascii="Times New Roman" w:hAnsi="Times New Roman"/>
          <w:b w:val="false"/>
          <w:i w:val="false"/>
          <w:color w:val="000000"/>
          <w:sz w:val="22"/>
        </w:rPr>
        <w:t xml:space="preserve">If an issuer makes a written offer to a covered individual covered by one or more of the issuer’s 1990 plans (as described in this rule) to allow, during a specified period, the covered individual to exchange coverage from the covered individual’s 1990 plan (as described in this rule) to a 2010 plan (as described in rule </w:t>
      </w:r>
      <w:hyperlink r:id="rId53">
        <w:r>
          <w:rPr>
            <w:rStyle w:val="Hyperlink"/>
            <w:rFonts w:ascii="Times New Roman" w:hAnsi="Times New Roman"/>
            <w:b w:val="false"/>
            <w:i w:val="false"/>
            <w:color w:val="000000"/>
            <w:sz w:val="22"/>
          </w:rPr>
          <w:t>191—37.8</w:t>
        </w:r>
      </w:hyperlink>
      <w:r>
        <w:rPr>
          <w:rFonts w:ascii="Times New Roman" w:hAnsi="Times New Roman"/>
          <w:b w:val="false"/>
          <w:i w:val="false"/>
          <w:color w:val="000000"/>
          <w:sz w:val="22"/>
        </w:rPr>
        <w:t>(514D)), the offer and subsequent exchange shall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need not provide justification to the commissioner or comply with </w:t>
      </w:r>
      <w:hyperlink r:id="rId54">
        <w:r>
          <w:rPr>
            <w:rStyle w:val="Hyperlink"/>
            <w:rFonts w:ascii="Times New Roman" w:hAnsi="Times New Roman"/>
            <w:b w:val="false"/>
            <w:i w:val="false"/>
            <w:color w:val="000000"/>
            <w:sz w:val="22"/>
          </w:rPr>
          <w:t>191—Chapter 16</w:t>
        </w:r>
      </w:hyperlink>
      <w:r>
        <w:rPr>
          <w:rFonts w:ascii="Times New Roman" w:hAnsi="Times New Roman"/>
          <w:b w:val="false"/>
          <w:i w:val="false"/>
          <w:color w:val="000000"/>
          <w:sz w:val="22"/>
        </w:rPr>
        <w:t xml:space="preserve"> or rule </w:t>
      </w:r>
      <w:hyperlink r:id="rId55">
        <w:r>
          <w:rPr>
            <w:rStyle w:val="Hyperlink"/>
            <w:rFonts w:ascii="Times New Roman" w:hAnsi="Times New Roman"/>
            <w:b w:val="false"/>
            <w:i w:val="false"/>
            <w:color w:val="000000"/>
            <w:sz w:val="22"/>
          </w:rPr>
          <w:t>191—37.27</w:t>
        </w:r>
      </w:hyperlink>
      <w:r>
        <w:rPr>
          <w:rFonts w:ascii="Times New Roman" w:hAnsi="Times New Roman"/>
          <w:b w:val="false"/>
          <w:i w:val="false"/>
          <w:color w:val="000000"/>
          <w:sz w:val="22"/>
        </w:rPr>
        <w:t xml:space="preserve">(514D) if the covered individual exchanges a 1990 plan policy or certificate for an issue-age-rated 2010 plan policy or certificate using the same issue age and duration as was used for the covered individual’s 1990 plan policy or certificate to be exchanged. If a covered individual’s 1990 plan policy or certificate to be exchanged is priced on an issue-age-rate schedule at the time of such offer, the rate charged to the covered individual for the exchanged 2010 plan policy or certificate shall recognize the policy reserve buildup, due to the prefunding inherent in the use of an issue-age-rate basis, for the benefit of the covered individual. The rating method proposed to be used by an issuer must be filed with the commissioner pursuant to rule </w:t>
      </w:r>
      <w:hyperlink r:id="rId56">
        <w:r>
          <w:rPr>
            <w:rStyle w:val="Hyperlink"/>
            <w:rFonts w:ascii="Times New Roman" w:hAnsi="Times New Roman"/>
            <w:b w:val="false"/>
            <w:i w:val="false"/>
            <w:color w:val="000000"/>
            <w:sz w:val="22"/>
          </w:rPr>
          <w:t>191—37.24</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rating class of the new exchanged 2010 plan policy or certificate shall be the class closest to the covered individual’s rating class of the exchanged 1990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issuer may not apply new preexisting condition limitations or a new incontestability period to the covered individual’s exchanged 2010 plan for those benefits contained in the exchanged 1990 plan, but may apply preexisting condition limitations of no more than six months to any added benefits contained in the exchanged 2010 plan that were not contained in the exchanged 1990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exchanged 2010 plan shall be offered to all covered individuals within a given 1990 plan, except where the offer or issue would be in violation of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37.7(2)</w:t>
      </w:r>
      <w:r>
        <w:rPr>
          <w:rFonts w:ascii="Times New Roman" w:hAnsi="Times New Roman"/>
          <w:b w:val="false"/>
          <w:i w:val="false"/>
          <w:color w:val="000000"/>
          <w:sz w:val="22"/>
        </w:rPr>
        <w:t> </w:t>
      </w:r>
      <w:r>
        <w:rPr>
          <w:rFonts w:ascii="Times New Roman" w:hAnsi="Times New Roman"/>
          <w:b w:val="false"/>
          <w:i/>
          <w:color w:val="000000"/>
          <w:sz w:val="22"/>
        </w:rPr>
        <w:t xml:space="preserve">Standards for basic core benefits common to 1990 standardized Medicare supplement benefit plans A through J (1990 plans). </w:t>
      </w:r>
      <w:r>
        <w:rPr>
          <w:rFonts w:ascii="Times New Roman" w:hAnsi="Times New Roman"/>
          <w:b w:val="false"/>
          <w:i w:val="false"/>
          <w:color w:val="000000"/>
          <w:sz w:val="22"/>
        </w:rPr>
        <w:t>Every issuer shall make available a 1990 plan including only the following basic core benefits to each prospective covered individual. An issuer may make available to prospective covered individuals any of the issuer’s other standardized Medicare supplement benefit plans in addition to the basic core benefits, but not in lieu thereof. The 1990 basic core benefits are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Coverage of Part A Medicare-eligible expenses for hospitalization, to the extent not covered by Medicare, from the sixty-first day through the ninetieth day in any Medicare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Coverage of Part A Medicare-eligible expenses incurred for hospitalization, to the extent not covered by Medicare, for each Medicare lifetime inpatient reserve day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exhaustion of the Medicare hospital inpatient coverage including the lifetime reserve days, coverage of 100 percent of the Medicare Part A eligible expenses for hospitalization, paid at the applicable PPS rate or other appropriate Medicare standard of payment, subject to a lifetime maximum benefit of an additional 365 days. Medicare requires that the provider shall accept the issuer’s payment as payment in full and that the provider may not bill the covered individual for any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Coverage under Medicare Parts A and B for the reasonable cost of the first three pints of blood (or equivalent quantities of packed red blood cells, as defined under federal regulations) unless replaced in accordance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Coverage for the coinsurance amount or, in the case of hospital outpatient department services paid under a PPS, the copayment amount of Medicare Part B eligible expenses regardless of hospital confinement, subject to the Medicare Part B deductible.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37.7(3)</w:t>
      </w:r>
      <w:r>
        <w:rPr>
          <w:rFonts w:ascii="Times New Roman" w:hAnsi="Times New Roman"/>
          <w:b w:val="false"/>
          <w:i w:val="false"/>
          <w:color w:val="000000"/>
          <w:sz w:val="22"/>
        </w:rPr>
        <w:t> </w:t>
      </w:r>
      <w:r>
        <w:rPr>
          <w:rFonts w:ascii="Times New Roman" w:hAnsi="Times New Roman"/>
          <w:b w:val="false"/>
          <w:i/>
          <w:color w:val="000000"/>
          <w:sz w:val="22"/>
        </w:rPr>
        <w:t xml:space="preserve">Standards for additional benefits for plans B through J. </w:t>
      </w:r>
      <w:r>
        <w:rPr>
          <w:rFonts w:ascii="Times New Roman" w:hAnsi="Times New Roman"/>
          <w:b w:val="false"/>
          <w:i w:val="false"/>
          <w:color w:val="000000"/>
          <w:sz w:val="22"/>
        </w:rPr>
        <w:t xml:space="preserve">The following benefit descriptions apply to the additional benefits specified for 1990 plans B through J in </w:t>
      </w:r>
      <w:hyperlink r:id="rId57">
        <w:r>
          <w:rPr>
            <w:rStyle w:val="Hyperlink"/>
            <w:rFonts w:ascii="Times New Roman" w:hAnsi="Times New Roman"/>
            <w:b w:val="false"/>
            <w:i w:val="false"/>
            <w:color w:val="000000"/>
            <w:sz w:val="22"/>
          </w:rPr>
          <w:t>subrule 37.7(4)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Medicare Part A deductible: coverage for all of the Medicare Part A inpatient hospital deductible amount per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care: coverage for the actual billed charges up to the coinsurance amount from the twenty-first day through the one hundredth day in a Medicare benefit period for post-hospital skilled nursing facility care eligible under Medicare Part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Part B deductible: coverage for all of the Medicare Part B deductible amount per calendar year regardless of hospital confinement.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Eighty percent of the Medicare Part B excess charges: coverage for 80 percent of the difference between the actual Medicare Part B charge as billed, not to exceed any charge limitation established by Medicare or by state law, and the Medicare-approved Part B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Medicare Part B excess charges: coverage for all of the difference between the actual Medicare Part B charge as billed, not to exceed any charge limitation established by Medicare or by state law, and the Medicare-approved Part B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Basic outpatient prescription drug benefit: coverage for 50 percent of outpatient prescription drug charges, after a $250 calendar year deductible, to a maximum of $1,250 in benefits received by the covered individual per calendar year, to the extent not covered by Medicare. The outpatient prescription drug benefit may be included for sale or issuance in a Medicare 1990 plan until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Extended outpatient prescription drug benefit: coverage for 50 percent of outpatient prescription drug charges, after a $250 calendar year deductible to a maximum of $3,000 in benefits received by the covered individual per calendar year, to the extent not covered by Medicare. The outpatient prescription drug benefit may be included for sale or issuance in a Medicare 1990 plan until January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Medically necessary emergency care in a foreign country: coverage to the extent not covered by Medicare for 80 percent of the billed charges for Medicare-eligible expenses for medically necessary emergency hospital, physician and medical care received in a foreign country, which care would have been covered by Medicare if provided in the United States and which care began during the first 60 consecutive days of each trip outside the United States, subject to a calendar year deductible of $250 and a lifetime maximum benefit of $50,000. For purposes of this benefit, “emergency care” shall mean care needed immediately because of an injury or an illness of sudden and unexpected onset.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Preventive medical care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Coverage for the following preventive health services not covered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annual clinical preventive medical history and physical examination that may include tests and services from numbered paragraph “2” and patient education to address preventive health care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Preventive screening tests or preventive services, the selection and frequency of which is determined to be medically appropriate by the attending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Reimbursement shall be for the actual charges up to 100 percent of the Medicare-approved amount for each service, as if Medicare were to cover the service as identified in American Medical Association current procedural terminology (AMA CPT) codes, to a maximum of $120 annually under this benefit. This benefit shall not include payment for any procedure covered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At-home recovery benefit: coverage for services to provide short-term, at-home assistance with activities of daily living for those recovering from an illness, injury or surgery.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benefit, the following definitions shall apply:</w:t>
      </w:r>
    </w:p>
    <w:p>
      <w:pPr>
        <w:spacing w:before="0" w:after="0"/>
        <w:ind w:left="120"/>
        <w:jc w:val="both"/>
      </w:pPr>
      <w:r>
        <w:rPr>
          <w:rFonts w:ascii="Times New Roman" w:hAnsi="Times New Roman"/>
          <w:b w:val="false"/>
          <w:i/>
          <w:color w:val="000000"/>
          <w:sz w:val="22"/>
        </w:rPr>
        <w:t>“Activities of daily living”</w:t>
      </w:r>
      <w:r>
        <w:rPr>
          <w:rFonts w:ascii="Times New Roman" w:hAnsi="Times New Roman"/>
          <w:b w:val="false"/>
          <w:i w:val="false"/>
          <w:color w:val="000000"/>
          <w:sz w:val="22"/>
        </w:rPr>
        <w:t xml:space="preserve"> includes, but is not limited to, bathing, dressing, personal hygiene, transferring, eating, ambulating, assistance with drugs that are normally self-administered, and changing bandages or other dressings.</w:t>
      </w:r>
    </w:p>
    <w:p>
      <w:pPr>
        <w:spacing w:before="0" w:after="0"/>
        <w:ind w:left="120"/>
        <w:jc w:val="both"/>
      </w:pPr>
      <w:r>
        <w:rPr>
          <w:rFonts w:ascii="Times New Roman" w:hAnsi="Times New Roman"/>
          <w:b w:val="false"/>
          <w:i/>
          <w:color w:val="000000"/>
          <w:sz w:val="22"/>
        </w:rPr>
        <w:t>“At-home recovery visit”</w:t>
      </w:r>
      <w:r>
        <w:rPr>
          <w:rFonts w:ascii="Times New Roman" w:hAnsi="Times New Roman"/>
          <w:b w:val="false"/>
          <w:i w:val="false"/>
          <w:color w:val="000000"/>
          <w:sz w:val="22"/>
        </w:rPr>
        <w:t xml:space="preserve"> means the period of a visit required to provide at-home recovery care, without limit on the duration of the visit, except each consecutive four hours in a 24-hour period of services provided by a care provider is one visit.</w:t>
      </w:r>
    </w:p>
    <w:p>
      <w:pPr>
        <w:spacing w:before="0" w:after="0"/>
        <w:ind w:left="120"/>
        <w:jc w:val="both"/>
      </w:pPr>
      <w:r>
        <w:rPr>
          <w:rFonts w:ascii="Times New Roman" w:hAnsi="Times New Roman"/>
          <w:b w:val="false"/>
          <w:i/>
          <w:color w:val="000000"/>
          <w:sz w:val="22"/>
        </w:rPr>
        <w:t>“Care provider”</w:t>
      </w:r>
      <w:r>
        <w:rPr>
          <w:rFonts w:ascii="Times New Roman" w:hAnsi="Times New Roman"/>
          <w:b w:val="false"/>
          <w:i w:val="false"/>
          <w:color w:val="000000"/>
          <w:sz w:val="22"/>
        </w:rPr>
        <w:t xml:space="preserve"> means a duly qualified or licensed home health aide or homemaker, personal care aide or nurse provided through a licensed home health care agency or referred by a licensed referral agency or licensed nurses registry.</w:t>
      </w:r>
    </w:p>
    <w:p>
      <w:pPr>
        <w:spacing w:before="0" w:after="0"/>
        <w:ind w:left="120"/>
        <w:jc w:val="both"/>
      </w:pPr>
      <w:r>
        <w:rPr>
          <w:rFonts w:ascii="Times New Roman" w:hAnsi="Times New Roman"/>
          <w:b w:val="false"/>
          <w:i/>
          <w:color w:val="000000"/>
          <w:sz w:val="22"/>
        </w:rPr>
        <w:t>“Home”</w:t>
      </w:r>
      <w:r>
        <w:rPr>
          <w:rFonts w:ascii="Times New Roman" w:hAnsi="Times New Roman"/>
          <w:b w:val="false"/>
          <w:i w:val="false"/>
          <w:color w:val="000000"/>
          <w:sz w:val="22"/>
        </w:rPr>
        <w:t xml:space="preserve"> shall mean any place used by the covered individual as a place of residence, provided that such place would qualify as a residence for home health care services covered by Medicare. A hospital or skilled nursing facility shall not be considered the covered individual’s place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Coverage requirements and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At-home recovery services provided must be primarily services which assist in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covered individual’s attending physician must certify that the specific type and frequency of at-home recovery services are necessary because of a condition for which a home care plan of treatment was approved by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Coverage is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 more than the number and type of at-home recovery visits certified as necessary by the covered individual’s attending physician. The total number of at-home recovery visits shall not exceed the number of Medicare-approved home health care visits under a Medicare-approved home care plan of treatment.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actual charges for each visit up to a maximum reimbursement of $40 per visit.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One thousand six hundred dollars per calendar year.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Seven visits in any one week.</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Care furnished on a visiting basis in the covered individual’s home.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Services provided by a care provider as defined in this </w:t>
      </w:r>
      <w:hyperlink r:id="rId58">
        <w:r>
          <w:rPr>
            <w:rStyle w:val="Hyperlink"/>
            <w:rFonts w:ascii="Times New Roman" w:hAnsi="Times New Roman"/>
            <w:b w:val="false"/>
            <w:i w:val="false"/>
            <w:color w:val="000000"/>
            <w:sz w:val="22"/>
          </w:rPr>
          <w:t>paragraph 37.7(3)</w:t>
        </w:r>
      </w:hyperlink>
      <w:r>
        <w:rPr>
          <w:rFonts w:ascii="Times New Roman" w:hAnsi="Times New Roman"/>
          <w:b w:val="false"/>
          <w:i/>
          <w:color w:val="000000"/>
          <w:sz w:val="22"/>
        </w:rPr>
        <w:t>“j.”</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At-home recovery visits while the covered individual is covered under the policy or certificate and not otherwise excluded.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At-home recovery visits received during the period the covered individual is receiving Medicare-approved home care services or no more than eight weeks after the service date of the last Medicare-approved home health care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Coverage is excluded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care visits paid for by Medicare or other government programs;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Care provided by family members, unpaid volunteers or providers who are not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37.7(4)</w:t>
      </w:r>
      <w:r>
        <w:rPr>
          <w:rFonts w:ascii="Times New Roman" w:hAnsi="Times New Roman"/>
          <w:b w:val="false"/>
          <w:i w:val="false"/>
          <w:color w:val="000000"/>
          <w:sz w:val="22"/>
        </w:rPr>
        <w:t> </w:t>
      </w:r>
      <w:r>
        <w:rPr>
          <w:rFonts w:ascii="Times New Roman" w:hAnsi="Times New Roman"/>
          <w:b w:val="false"/>
          <w:i/>
          <w:color w:val="000000"/>
          <w:sz w:val="22"/>
        </w:rPr>
        <w:t xml:space="preserve">Elements required in standardized 1990 Medicare supplement benefit plans. </w:t>
      </w:r>
      <w:r>
        <w:rPr>
          <w:rFonts w:ascii="Times New Roman" w:hAnsi="Times New Roman"/>
          <w:b w:val="false"/>
          <w:i w:val="false"/>
          <w:color w:val="000000"/>
          <w:sz w:val="22"/>
        </w:rPr>
        <w:t xml:space="preserve">The additional benefits described in </w:t>
      </w:r>
      <w:hyperlink r:id="rId59">
        <w:r>
          <w:rPr>
            <w:rStyle w:val="Hyperlink"/>
            <w:rFonts w:ascii="Times New Roman" w:hAnsi="Times New Roman"/>
            <w:b w:val="false"/>
            <w:i w:val="false"/>
            <w:color w:val="000000"/>
            <w:sz w:val="22"/>
          </w:rPr>
          <w:t>subrule 37.7(3)</w:t>
        </w:r>
      </w:hyperlink>
      <w:r>
        <w:rPr>
          <w:rFonts w:ascii="Times New Roman" w:hAnsi="Times New Roman"/>
          <w:b w:val="false"/>
          <w:i w:val="false"/>
          <w:color w:val="000000"/>
          <w:sz w:val="22"/>
        </w:rPr>
        <w:t xml:space="preserve"> shall be included in 1990 Medicare supplement benefit plans as specified for each 1990 plan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Plan A shall be limited to the basic core benefits, as defined in </w:t>
      </w:r>
      <w:hyperlink r:id="rId60">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 B shall include only the following: basic core benefits as set forth in </w:t>
      </w:r>
      <w:hyperlink r:id="rId61">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as defined in </w:t>
      </w:r>
      <w:hyperlink r:id="rId62">
        <w:r>
          <w:rPr>
            <w:rStyle w:val="Hyperlink"/>
            <w:rFonts w:ascii="Times New Roman" w:hAnsi="Times New Roman"/>
            <w:b w:val="false"/>
            <w:i w:val="false"/>
            <w:color w:val="000000"/>
            <w:sz w:val="22"/>
          </w:rPr>
          <w:t>paragraph 37.7(3)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Plan C shall include only the following: basic core benefits as set forth in </w:t>
      </w:r>
      <w:hyperlink r:id="rId63">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Medicare Part B deductible, and medically necessary emergency care in a foreign country as defined in paragraphs </w:t>
      </w:r>
      <w:hyperlink r:id="rId64">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Plan D shall include only the following: basic core benefits as set forth in </w:t>
      </w:r>
      <w:hyperlink r:id="rId65">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medically necessary emergency care in a foreign country, and the at-home recovery benefit as defined in paragraphs </w:t>
      </w:r>
      <w:hyperlink r:id="rId66">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Plan E shall include only the following: basic core benefits as set forth in </w:t>
      </w:r>
      <w:hyperlink r:id="rId67">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medically necessary emergency care in a foreign country, and preventive medical care as defined in paragraphs </w:t>
      </w:r>
      <w:hyperlink r:id="rId68">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Plan F shall include only the following: basic core benefits as set forth in </w:t>
      </w:r>
      <w:hyperlink r:id="rId69">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the Medicare Part B deductible, 100 percent of the Medicare Part B excess charges, and medically necessary emergency care in a foreign country as defined in paragraphs </w:t>
      </w:r>
      <w:hyperlink r:id="rId70">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Plan G shall include only the following: basic core benefits as set forth in </w:t>
      </w:r>
      <w:hyperlink r:id="rId71">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80 percent of the Medicare Part B excess charges, medically necessary emergency care in a foreign country, and the at-home recovery benefit as defined in paragraphs </w:t>
      </w:r>
      <w:hyperlink r:id="rId72">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“d,”</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Plan H shall consist of only the following: basic core benefits as set forth in </w:t>
      </w:r>
      <w:hyperlink r:id="rId73">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basic prescription drug benefit, and medically necessary emergency care in a foreign country as defined in paragraphs </w:t>
      </w:r>
      <w:hyperlink r:id="rId74">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“f,”</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respectively. The outpatient prescription drug benefit shall not be included in a 1990 plan sold after December 31,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Plan I shall consist of only the following: basic core benefits as set forth in </w:t>
      </w:r>
      <w:hyperlink r:id="rId75">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100 percent of the Medicare Part B excess charges, basic prescription drug benefit, medically necessary emergency care in a foreign country, and at-home recovery benefit as defined in paragraphs </w:t>
      </w:r>
      <w:hyperlink r:id="rId76">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“e,”</w:t>
      </w:r>
      <w:r>
        <w:rPr>
          <w:rFonts w:ascii="Times New Roman" w:hAnsi="Times New Roman"/>
          <w:b w:val="false"/>
          <w:i/>
          <w:color w:val="000000"/>
          <w:sz w:val="22"/>
        </w:rPr>
        <w:t>“f,”</w:t>
      </w:r>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respectively. The outpatient prescription drug benefit shall not be included in a 1990 plan sold after December 31,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Plan J shall consist of only the following: basic core benefits as set forth in </w:t>
      </w:r>
      <w:hyperlink r:id="rId77">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Medicare Part B deductible, 100 percent of the Medicare Part B excess charges, extended prescription drug benefit, medically necessary emergency care in a foreign country, preventive medical care, and at-home recovery benefit as defined in paragraphs </w:t>
      </w:r>
      <w:hyperlink r:id="rId78">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respectively. The outpatient prescription drug benefit shall not be included in a 1990 plan sold after December 31,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High deductible Plan F shall include only the following: 100 percent of covered expenses following the payment of the annual high deductible Plan F deductible. The covered expenses include the basic core benefits as set forth in </w:t>
      </w:r>
      <w:hyperlink r:id="rId79">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the Medicare Part B deductible, 100 percent of the Medicare Part B excess charges, and medically necessary emergency care in a foreign country as defined in paragraphs </w:t>
      </w:r>
      <w:hyperlink r:id="rId80">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“h,”</w:t>
      </w:r>
      <w:r>
        <w:rPr>
          <w:rFonts w:ascii="Times New Roman" w:hAnsi="Times New Roman"/>
          <w:b w:val="false"/>
          <w:i w:val="false"/>
          <w:color w:val="000000"/>
          <w:sz w:val="22"/>
        </w:rPr>
        <w:t xml:space="preserve"> respectively. The annual high deductible Plan F deductible shall consist of out-of-pocket expenses, other than premiums, for services covered by the Plan F policy, and shall be in addition to any other specific benefit deductibles. The annual high deductible Plan F deductible shall be $1,500 for 1998 and 1999, and shall be based on the calendar year. It shall be adjusted annually thereafter by the Secretary to reflect the change in the consumer price index for all urban consumers for the 12-month period ending with August of the preceding year, and rounded to the nearest multiple of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High deductible Plan J shall consist of only the following: 100 percent of covered expenses following the payment of the annual high deductible Plan J deductible. The covered expenses include the basic core benefits as set forth in </w:t>
      </w:r>
      <w:hyperlink r:id="rId81">
        <w:r>
          <w:rPr>
            <w:rStyle w:val="Hyperlink"/>
            <w:rFonts w:ascii="Times New Roman" w:hAnsi="Times New Roman"/>
            <w:b w:val="false"/>
            <w:i w:val="false"/>
            <w:color w:val="000000"/>
            <w:sz w:val="22"/>
          </w:rPr>
          <w:t>subrule 37.7(2)</w:t>
        </w:r>
      </w:hyperlink>
      <w:r>
        <w:rPr>
          <w:rFonts w:ascii="Times New Roman" w:hAnsi="Times New Roman"/>
          <w:b w:val="false"/>
          <w:i w:val="false"/>
          <w:color w:val="000000"/>
          <w:sz w:val="22"/>
        </w:rPr>
        <w:t xml:space="preserve">, plus the Medicare Part A deductible, skilled nursing facility care, Medicare Part B deductible, 100 percent of the Medicare Part B excess charges, extended outpatient prescription drug benefit, medically necessary emergency care in a foreign country, preventive medical care benefit, and at-home recovery benefit as defined in paragraphs </w:t>
      </w:r>
      <w:hyperlink r:id="rId82">
        <w:r>
          <w:rPr>
            <w:rStyle w:val="Hyperlink"/>
            <w:rFonts w:ascii="Times New Roman" w:hAnsi="Times New Roman"/>
            <w:b w:val="false"/>
            <w:i w:val="false"/>
            <w:color w:val="000000"/>
            <w:sz w:val="22"/>
          </w:rPr>
          <w:t>37.7(3)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color w:val="000000"/>
          <w:sz w:val="22"/>
        </w:rPr>
        <w:t>“g,”</w:t>
      </w:r>
      <w:r>
        <w:rPr>
          <w:rFonts w:ascii="Times New Roman" w:hAnsi="Times New Roman"/>
          <w:b w:val="false"/>
          <w:i/>
          <w:color w:val="000000"/>
          <w:sz w:val="22"/>
        </w:rPr>
        <w:t>“h,”</w:t>
      </w:r>
      <w:r>
        <w:rPr>
          <w:rFonts w:ascii="Times New Roman" w:hAnsi="Times New Roman"/>
          <w:b w:val="false"/>
          <w:i/>
          <w:color w:val="000000"/>
          <w:sz w:val="22"/>
        </w:rPr>
        <w:t>“i,”</w:t>
      </w:r>
      <w:r>
        <w:rPr>
          <w:rFonts w:ascii="Times New Roman" w:hAnsi="Times New Roman"/>
          <w:b w:val="false"/>
          <w:i w:val="false"/>
          <w:color w:val="000000"/>
          <w:sz w:val="22"/>
        </w:rPr>
        <w:t xml:space="preserve"> and </w:t>
      </w:r>
      <w:r>
        <w:rPr>
          <w:rFonts w:ascii="Times New Roman" w:hAnsi="Times New Roman"/>
          <w:b w:val="false"/>
          <w:i/>
          <w:color w:val="000000"/>
          <w:sz w:val="22"/>
        </w:rPr>
        <w:t>“j,”</w:t>
      </w:r>
      <w:r>
        <w:rPr>
          <w:rFonts w:ascii="Times New Roman" w:hAnsi="Times New Roman"/>
          <w:b w:val="false"/>
          <w:i w:val="false"/>
          <w:color w:val="000000"/>
          <w:sz w:val="22"/>
        </w:rPr>
        <w:t xml:space="preserve"> respectively. The annual high deductible Plan J deductible shall consist of out-of-pocket expenses, other than premiums, for services covered by the Medicare supplement Plan J policy, and shall be in addition to any other specific benefit deductibles. The annual deductible shall be $1,500 for 1998 and 1999, and shall be based on a calendar year. It shall be adjusted annually thereafter by the Secretary to reflect the change in the consumer price index for all urban consumers for the 12-month period ending with August of the preceding year, and rounded to the nearest multiple of $10. The outpatient prescription drug benefit shall not be included in a 1990 plan sold after December 31,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Plan K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Coverage of 100 percent of the Part A hospital coinsurance amount for each day used from the sixty-first day through the ninetieth day in any Medicare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Coverage of 100 percent of the Part A hospital coinsurance amount for each Medicare lifetime inpatient reserve day used from the ninety-first day through the one hundred fiftieth day in any Medicare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Upon exhaustion of the Medicare hospital inpatient coverage, including the lifetime reserve days, coverage of 100 percent of the Medicare Part A eligible expenses for hospitalization paid at the applicable PPS rate, or other appropriate Medicare standard of payment, subject to a lifetime maximum benefit of an additional 365 days. The provider shall accept the issuer’s payment in full and may not bill the covered individual for any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 Part A deductible: coverage for 50 percent of the Medicare Part A inpatient hospital deductible amount per benefit period until the out-of-pocket limitation is met as described in </w:t>
      </w:r>
      <w:hyperlink r:id="rId83">
        <w:r>
          <w:rPr>
            <w:rStyle w:val="Hyperlink"/>
            <w:rFonts w:ascii="Times New Roman" w:hAnsi="Times New Roman"/>
            <w:b w:val="false"/>
            <w:i w:val="false"/>
            <w:color w:val="000000"/>
            <w:sz w:val="22"/>
          </w:rPr>
          <w:t>subparagraph 37.7(4)</w:t>
        </w:r>
      </w:hyperlink>
      <w:r>
        <w:rPr>
          <w:rFonts w:ascii="Times New Roman" w:hAnsi="Times New Roman"/>
          <w:b w:val="false"/>
          <w:i/>
          <w:color w:val="000000"/>
          <w:sz w:val="22"/>
        </w:rPr>
        <w:t>“m”</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Skilled nursing facility care: coverage for 50 percent of the coinsurance amount for each day used from the twenty-first day through the one hundredth day in a Medicare benefit period for post-hospital skilled nursing facility care eligible under Medicare Part A until the out-of-pocket limitation is met as described in </w:t>
      </w:r>
      <w:hyperlink r:id="rId84">
        <w:r>
          <w:rPr>
            <w:rStyle w:val="Hyperlink"/>
            <w:rFonts w:ascii="Times New Roman" w:hAnsi="Times New Roman"/>
            <w:b w:val="false"/>
            <w:i w:val="false"/>
            <w:color w:val="000000"/>
            <w:sz w:val="22"/>
          </w:rPr>
          <w:t>subparagraph 37.7(4)</w:t>
        </w:r>
      </w:hyperlink>
      <w:r>
        <w:rPr>
          <w:rFonts w:ascii="Times New Roman" w:hAnsi="Times New Roman"/>
          <w:b w:val="false"/>
          <w:i/>
          <w:color w:val="000000"/>
          <w:sz w:val="22"/>
        </w:rPr>
        <w:t>“m”</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Hospice care: coverage for 50 percent of cost sharing for all Part A Medicare-eligible expenses and respite care until the out-of-pocket limitation is met as described in </w:t>
      </w:r>
      <w:hyperlink r:id="rId85">
        <w:r>
          <w:rPr>
            <w:rStyle w:val="Hyperlink"/>
            <w:rFonts w:ascii="Times New Roman" w:hAnsi="Times New Roman"/>
            <w:b w:val="false"/>
            <w:i w:val="false"/>
            <w:color w:val="000000"/>
            <w:sz w:val="22"/>
          </w:rPr>
          <w:t>subparagraph 37.7(4)</w:t>
        </w:r>
      </w:hyperlink>
      <w:r>
        <w:rPr>
          <w:rFonts w:ascii="Times New Roman" w:hAnsi="Times New Roman"/>
          <w:b w:val="false"/>
          <w:i/>
          <w:color w:val="000000"/>
          <w:sz w:val="22"/>
        </w:rPr>
        <w:t>“m”</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Coverage for 50 percent, under Medicare Part A or B, of the reasonable cost of the first three pints of blood (or equivalent quantities of packed red blood cells, as defined under federal regulations) unless replaced in accordance with federal regulations until the out-of-pocket limitation is met as described in </w:t>
      </w:r>
      <w:hyperlink r:id="rId86">
        <w:r>
          <w:rPr>
            <w:rStyle w:val="Hyperlink"/>
            <w:rFonts w:ascii="Times New Roman" w:hAnsi="Times New Roman"/>
            <w:b w:val="false"/>
            <w:i w:val="false"/>
            <w:color w:val="000000"/>
            <w:sz w:val="22"/>
          </w:rPr>
          <w:t>subparagraph 37.7(4)</w:t>
        </w:r>
      </w:hyperlink>
      <w:r>
        <w:rPr>
          <w:rFonts w:ascii="Times New Roman" w:hAnsi="Times New Roman"/>
          <w:b w:val="false"/>
          <w:i/>
          <w:color w:val="000000"/>
          <w:sz w:val="22"/>
        </w:rPr>
        <w:t>“m”</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coverage provided in </w:t>
      </w:r>
      <w:hyperlink r:id="rId87">
        <w:r>
          <w:rPr>
            <w:rStyle w:val="Hyperlink"/>
            <w:rFonts w:ascii="Times New Roman" w:hAnsi="Times New Roman"/>
            <w:b w:val="false"/>
            <w:i w:val="false"/>
            <w:color w:val="000000"/>
            <w:sz w:val="22"/>
          </w:rPr>
          <w:t>subparagraph 37.7(4)</w:t>
        </w:r>
      </w:hyperlink>
      <w:r>
        <w:rPr>
          <w:rFonts w:ascii="Times New Roman" w:hAnsi="Times New Roman"/>
          <w:b w:val="false"/>
          <w:i/>
          <w:color w:val="000000"/>
          <w:sz w:val="22"/>
        </w:rPr>
        <w:t>“m”</w:t>
      </w:r>
      <w:r>
        <w:rPr>
          <w:rFonts w:ascii="Times New Roman" w:hAnsi="Times New Roman"/>
          <w:b w:val="false"/>
          <w:i w:val="false"/>
          <w:color w:val="000000"/>
          <w:sz w:val="22"/>
        </w:rPr>
        <w:t xml:space="preserve">(9), coverage for 50 percent of the cost sharing otherwise applicable under Medicare Part B after the covered individual pays the Part B deductible until the out-of-pocket limitation is met as described in </w:t>
      </w:r>
      <w:hyperlink r:id="rId88">
        <w:r>
          <w:rPr>
            <w:rStyle w:val="Hyperlink"/>
            <w:rFonts w:ascii="Times New Roman" w:hAnsi="Times New Roman"/>
            <w:b w:val="false"/>
            <w:i w:val="false"/>
            <w:color w:val="000000"/>
            <w:sz w:val="22"/>
          </w:rPr>
          <w:t>subparagraph 37.7(4)</w:t>
        </w:r>
      </w:hyperlink>
      <w:r>
        <w:rPr>
          <w:rFonts w:ascii="Times New Roman" w:hAnsi="Times New Roman"/>
          <w:b w:val="false"/>
          <w:i/>
          <w:color w:val="000000"/>
          <w:sz w:val="22"/>
        </w:rPr>
        <w:t>“m”</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Coverage of 100 percent of the cost sharing for Medicare Part B preventive services after the covered individual pays the Part B deductible;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Coverage of 100 percent of all cost sharing under Medicare Parts A and B for the balance of the calendar year after the individual has reached the out-of-pocket limitation on annual expenditures under Medicare Parts A and B of $4,000 in 2006, indexed each year by the appropriate inflation adjustment specified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Plan L shall consist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benefits described in subparagraphs </w:t>
      </w:r>
      <w:hyperlink r:id="rId89">
        <w:r>
          <w:rPr>
            <w:rStyle w:val="Hyperlink"/>
            <w:rFonts w:ascii="Times New Roman" w:hAnsi="Times New Roman"/>
            <w:b w:val="false"/>
            <w:i w:val="false"/>
            <w:color w:val="000000"/>
            <w:sz w:val="22"/>
          </w:rPr>
          <w:t>37.7(4)</w:t>
        </w:r>
      </w:hyperlink>
      <w:r>
        <w:rPr>
          <w:rFonts w:ascii="Times New Roman" w:hAnsi="Times New Roman"/>
          <w:b w:val="false"/>
          <w:i/>
          <w:color w:val="000000"/>
          <w:sz w:val="22"/>
        </w:rPr>
        <w:t>“m”</w:t>
      </w:r>
      <w:r>
        <w:rPr>
          <w:rFonts w:ascii="Times New Roman" w:hAnsi="Times New Roman"/>
          <w:b w:val="false"/>
          <w:i w:val="false"/>
          <w:color w:val="000000"/>
          <w:sz w:val="22"/>
        </w:rPr>
        <w:t>(1), (2), (3), and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benefits described in subparagraphs </w:t>
      </w:r>
      <w:hyperlink r:id="rId90">
        <w:r>
          <w:rPr>
            <w:rStyle w:val="Hyperlink"/>
            <w:rFonts w:ascii="Times New Roman" w:hAnsi="Times New Roman"/>
            <w:b w:val="false"/>
            <w:i w:val="false"/>
            <w:color w:val="000000"/>
            <w:sz w:val="22"/>
          </w:rPr>
          <w:t>37.7(4)</w:t>
        </w:r>
      </w:hyperlink>
      <w:r>
        <w:rPr>
          <w:rFonts w:ascii="Times New Roman" w:hAnsi="Times New Roman"/>
          <w:b w:val="false"/>
          <w:i/>
          <w:color w:val="000000"/>
          <w:sz w:val="22"/>
        </w:rPr>
        <w:t>“m”</w:t>
      </w:r>
      <w:r>
        <w:rPr>
          <w:rFonts w:ascii="Times New Roman" w:hAnsi="Times New Roman"/>
          <w:b w:val="false"/>
          <w:i w:val="false"/>
          <w:color w:val="000000"/>
          <w:sz w:val="22"/>
        </w:rPr>
        <w:t>(4), (5), (6), (7) and (8), but substituting 75 percent for 50 percent in each subparagraph;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benefit described in </w:t>
      </w:r>
      <w:hyperlink r:id="rId91">
        <w:r>
          <w:rPr>
            <w:rStyle w:val="Hyperlink"/>
            <w:rFonts w:ascii="Times New Roman" w:hAnsi="Times New Roman"/>
            <w:b w:val="false"/>
            <w:i w:val="false"/>
            <w:color w:val="000000"/>
            <w:sz w:val="22"/>
          </w:rPr>
          <w:t>paragraph 37.7(4)</w:t>
        </w:r>
      </w:hyperlink>
      <w:r>
        <w:rPr>
          <w:rFonts w:ascii="Times New Roman" w:hAnsi="Times New Roman"/>
          <w:b w:val="false"/>
          <w:i/>
          <w:color w:val="000000"/>
          <w:sz w:val="22"/>
        </w:rPr>
        <w:t>“m”</w:t>
      </w:r>
      <w:r>
        <w:rPr>
          <w:rFonts w:ascii="Times New Roman" w:hAnsi="Times New Roman"/>
          <w:b w:val="false"/>
          <w:i w:val="false"/>
          <w:color w:val="000000"/>
          <w:sz w:val="22"/>
        </w:rPr>
        <w:t>(10), but substituting $2,000 for $4,000.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37.7(5)</w:t>
      </w:r>
      <w:r>
        <w:rPr>
          <w:rFonts w:ascii="Times New Roman" w:hAnsi="Times New Roman"/>
          <w:b w:val="false"/>
          <w:i w:val="false"/>
          <w:color w:val="000000"/>
          <w:sz w:val="22"/>
        </w:rPr>
        <w:t> </w:t>
      </w:r>
      <w:r>
        <w:rPr>
          <w:rFonts w:ascii="Times New Roman" w:hAnsi="Times New Roman"/>
          <w:b w:val="false"/>
          <w:i/>
          <w:color w:val="000000"/>
          <w:sz w:val="22"/>
        </w:rPr>
        <w:t xml:space="preserve">Elements required in Medicare supplement plans mandated by the MMA. </w:t>
      </w:r>
      <w:r>
        <w:rPr>
          <w:rFonts w:ascii="Times New Roman" w:hAnsi="Times New Roman"/>
          <w:b w:val="false"/>
          <w:i w:val="false"/>
          <w:color w:val="000000"/>
          <w:sz w:val="22"/>
        </w:rPr>
        <w:t>The 1990 plans mandated by the MMA, Plans K and L, shall include the benefits described for each plan,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Plan K mandated by the MMA shall consist of only those benefits described in </w:t>
      </w:r>
      <w:hyperlink r:id="rId92">
        <w:r>
          <w:rPr>
            <w:rStyle w:val="Hyperlink"/>
            <w:rFonts w:ascii="Times New Roman" w:hAnsi="Times New Roman"/>
            <w:b w:val="false"/>
            <w:i w:val="false"/>
            <w:color w:val="000000"/>
            <w:sz w:val="22"/>
          </w:rPr>
          <w:t>paragraph 37.7(4)</w:t>
        </w:r>
      </w:hyperlink>
      <w:r>
        <w:rPr>
          <w:rFonts w:ascii="Times New Roman" w:hAnsi="Times New Roman"/>
          <w:b w:val="false"/>
          <w:i/>
          <w:color w:val="000000"/>
          <w:sz w:val="22"/>
        </w:rPr>
        <w:t>“m.”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 L mandated by the MMA shall consist of only those benefits described in </w:t>
      </w:r>
      <w:hyperlink r:id="rId93">
        <w:r>
          <w:rPr>
            <w:rStyle w:val="Hyperlink"/>
            <w:rFonts w:ascii="Times New Roman" w:hAnsi="Times New Roman"/>
            <w:b w:val="false"/>
            <w:i w:val="false"/>
            <w:color w:val="000000"/>
            <w:sz w:val="22"/>
          </w:rPr>
          <w:t>paragraph 37.7(4)</w:t>
        </w:r>
      </w:hyperlink>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37.7(6)</w:t>
      </w:r>
      <w:r>
        <w:rPr>
          <w:rFonts w:ascii="Times New Roman" w:hAnsi="Times New Roman"/>
          <w:b w:val="false"/>
          <w:i w:val="false"/>
          <w:color w:val="000000"/>
          <w:sz w:val="22"/>
        </w:rPr>
        <w:t> </w:t>
      </w:r>
      <w:r>
        <w:rPr>
          <w:rFonts w:ascii="Times New Roman" w:hAnsi="Times New Roman"/>
          <w:b w:val="false"/>
          <w:i/>
          <w:color w:val="000000"/>
          <w:sz w:val="22"/>
        </w:rPr>
        <w:t xml:space="preserve">New or innovative benefits. </w:t>
      </w:r>
      <w:r>
        <w:rPr>
          <w:rFonts w:ascii="Times New Roman" w:hAnsi="Times New Roman"/>
          <w:b w:val="false"/>
          <w:i w:val="false"/>
          <w:color w:val="000000"/>
          <w:sz w:val="22"/>
        </w:rPr>
        <w:t>An issuer may, with the prior approval of the commissioner, offer policies or certificates with new or innovative benefits in addition to the benefits provided in a policy or certificate that otherwise complies with the applicable standards. The new or innovative benefits may include benefits that are appropriate to Medicare supplement insurance, new or innovative, not otherwise available, cost-effective, and offered in a manner which is consistent with the goal of simplification of Medicare supplement policies. After December 31, 2005, the innovative benefit shall not include an outpatient prescription drug benefit.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191—37.8</w:t>
      </w:r>
      <w:r>
        <w:rPr>
          <w:rFonts w:ascii="Times New Roman" w:hAnsi="Times New Roman"/>
          <w:b/>
          <w:i w:val="false"/>
          <w:color w:val="000000"/>
          <w:sz w:val="22"/>
        </w:rPr>
        <w:t xml:space="preserve">(514D) </w:t>
      </w:r>
      <w:r>
        <w:rPr>
          <w:rFonts w:ascii="Times New Roman" w:hAnsi="Times New Roman"/>
          <w:b/>
          <w:i w:val="false"/>
          <w:color w:val="000000"/>
          <w:sz w:val="22"/>
        </w:rPr>
        <w:t xml:space="preserve">Benefit standards for 2010 standardized Medicare supplement benefit plan policies or certificates issued for delivery with an effective date for coverage on or after June 1, 2010 (2010 plans). </w:t>
      </w:r>
      <w:r>
        <w:rPr>
          <w:rFonts w:ascii="Times New Roman" w:hAnsi="Times New Roman"/>
          <w:b w:val="false"/>
          <w:i w:val="false"/>
          <w:color w:val="000000"/>
          <w:sz w:val="22"/>
        </w:rPr>
        <w:t xml:space="preserve">The following standards are applicable to all Medicare supplement policies or certificates delivered or issued for delivery in this state with an effective date for coverage on or after June 1, 2010. No policy or certificate was to be advertised, solicited, delivered, or issued for delivery in this state as a Medicare supplement policy or certificate during that time period unless it complied with the benefit standards set forth in this rule. No issuer may offer any 1990 standardized Medicare supplement benefit plan for sale on or after June 1, 2010. Benefit standards applicable to Medicare supplement policies and certificates issued before June 1, 2010, remain subject to the requirements of rule </w:t>
      </w:r>
      <w:hyperlink r:id="rId94">
        <w:r>
          <w:rPr>
            <w:rStyle w:val="Hyperlink"/>
            <w:rFonts w:ascii="Times New Roman" w:hAnsi="Times New Roman"/>
            <w:b w:val="false"/>
            <w:i w:val="false"/>
            <w:color w:val="000000"/>
            <w:sz w:val="22"/>
          </w:rPr>
          <w:t>191—37.6</w:t>
        </w:r>
      </w:hyperlink>
      <w:r>
        <w:rPr>
          <w:rFonts w:ascii="Times New Roman" w:hAnsi="Times New Roman"/>
          <w:b w:val="false"/>
          <w:i w:val="false"/>
          <w:color w:val="000000"/>
          <w:sz w:val="22"/>
        </w:rPr>
        <w:t xml:space="preserve">(514D) or </w:t>
      </w:r>
      <w:hyperlink r:id="rId95">
        <w:r>
          <w:rPr>
            <w:rStyle w:val="Hyperlink"/>
            <w:rFonts w:ascii="Times New Roman" w:hAnsi="Times New Roman"/>
            <w:b w:val="false"/>
            <w:i w:val="false"/>
            <w:color w:val="000000"/>
            <w:sz w:val="22"/>
          </w:rPr>
          <w:t>191—37.7</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37.8(1)</w:t>
      </w:r>
      <w:r>
        <w:rPr>
          <w:rFonts w:ascii="Times New Roman" w:hAnsi="Times New Roman"/>
          <w:b w:val="false"/>
          <w:i w:val="false"/>
          <w:color w:val="000000"/>
          <w:sz w:val="22"/>
        </w:rPr>
        <w:t> </w:t>
      </w:r>
      <w:r>
        <w:rPr>
          <w:rFonts w:ascii="Times New Roman" w:hAnsi="Times New Roman"/>
          <w:b w:val="false"/>
          <w:i/>
          <w:color w:val="000000"/>
          <w:sz w:val="22"/>
        </w:rPr>
        <w:t xml:space="preserve">General standards. </w:t>
      </w:r>
      <w:r>
        <w:rPr>
          <w:rFonts w:ascii="Times New Roman" w:hAnsi="Times New Roman"/>
          <w:b w:val="false"/>
          <w:i w:val="false"/>
          <w:color w:val="000000"/>
          <w:sz w:val="22"/>
        </w:rPr>
        <w:t>The following standards apply to 2010 plans and are in addition to all other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Combinations of benefits other than standard not allowed. </w:t>
      </w:r>
      <w:r>
        <w:rPr>
          <w:rFonts w:ascii="Times New Roman" w:hAnsi="Times New Roman"/>
          <w:b w:val="false"/>
          <w:i w:val="false"/>
          <w:color w:val="000000"/>
          <w:sz w:val="22"/>
        </w:rPr>
        <w:t xml:space="preserve">No groups, packages or combinations of Medicare supplement benefits other than those listed in this rule shall be offered for sale in this state, except as may be permitted in </w:t>
      </w:r>
      <w:hyperlink r:id="rId96">
        <w:r>
          <w:rPr>
            <w:rStyle w:val="Hyperlink"/>
            <w:rFonts w:ascii="Times New Roman" w:hAnsi="Times New Roman"/>
            <w:b w:val="false"/>
            <w:i w:val="false"/>
            <w:color w:val="000000"/>
            <w:sz w:val="22"/>
          </w:rPr>
          <w:t>subrule 37.8(5)</w:t>
        </w:r>
      </w:hyperlink>
      <w:r>
        <w:rPr>
          <w:rFonts w:ascii="Times New Roman" w:hAnsi="Times New Roman"/>
          <w:b w:val="false"/>
          <w:i w:val="false"/>
          <w:color w:val="000000"/>
          <w:sz w:val="22"/>
        </w:rPr>
        <w:t xml:space="preserve"> and rule </w:t>
      </w:r>
      <w:hyperlink r:id="rId97">
        <w:r>
          <w:rPr>
            <w:rStyle w:val="Hyperlink"/>
            <w:rFonts w:ascii="Times New Roman" w:hAnsi="Times New Roman"/>
            <w:b w:val="false"/>
            <w:i w:val="false"/>
            <w:color w:val="000000"/>
            <w:sz w:val="22"/>
          </w:rPr>
          <w:t>191—37.20</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Uniformity and conformity. </w:t>
      </w:r>
      <w:r>
        <w:rPr>
          <w:rFonts w:ascii="Times New Roman" w:hAnsi="Times New Roman"/>
          <w:b w:val="false"/>
          <w:i w:val="false"/>
          <w:color w:val="000000"/>
          <w:sz w:val="22"/>
        </w:rPr>
        <w:t xml:space="preserve">All 2010 plans shall be uniform in structure, language, designation and format to the standardized benefit plans listed in </w:t>
      </w:r>
      <w:hyperlink r:id="rId98">
        <w:r>
          <w:rPr>
            <w:rStyle w:val="Hyperlink"/>
            <w:rFonts w:ascii="Times New Roman" w:hAnsi="Times New Roman"/>
            <w:b w:val="false"/>
            <w:i w:val="false"/>
            <w:color w:val="000000"/>
            <w:sz w:val="22"/>
          </w:rPr>
          <w:t>subrule 37.8(4)</w:t>
        </w:r>
      </w:hyperlink>
      <w:r>
        <w:rPr>
          <w:rFonts w:ascii="Times New Roman" w:hAnsi="Times New Roman"/>
          <w:b w:val="false"/>
          <w:i w:val="false"/>
          <w:color w:val="000000"/>
          <w:sz w:val="22"/>
        </w:rPr>
        <w:t xml:space="preserve">, and shall conform to the definitions in rules </w:t>
      </w:r>
      <w:hyperlink r:id="rId99">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 xml:space="preserve">(514D) and </w:t>
      </w:r>
      <w:hyperlink r:id="rId100">
        <w:r>
          <w:rPr>
            <w:rStyle w:val="Hyperlink"/>
            <w:rFonts w:ascii="Times New Roman" w:hAnsi="Times New Roman"/>
            <w:b w:val="false"/>
            <w:i w:val="false"/>
            <w:color w:val="000000"/>
            <w:sz w:val="22"/>
          </w:rPr>
          <w:t>191—37.4</w:t>
        </w:r>
      </w:hyperlink>
      <w:r>
        <w:rPr>
          <w:rFonts w:ascii="Times New Roman" w:hAnsi="Times New Roman"/>
          <w:b w:val="false"/>
          <w:i w:val="false"/>
          <w:color w:val="000000"/>
          <w:sz w:val="22"/>
        </w:rPr>
        <w:t xml:space="preserve">(514D). Each benefit plan shall be structured in accordance with the format provided in </w:t>
      </w:r>
      <w:hyperlink r:id="rId101">
        <w:r>
          <w:rPr>
            <w:rStyle w:val="Hyperlink"/>
            <w:rFonts w:ascii="Times New Roman" w:hAnsi="Times New Roman"/>
            <w:b w:val="false"/>
            <w:i w:val="false"/>
            <w:color w:val="000000"/>
            <w:sz w:val="22"/>
          </w:rPr>
          <w:t>subrules 37.8(2)</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37.8(3)</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37.8(4)</w:t>
        </w:r>
      </w:hyperlink>
      <w:r>
        <w:rPr>
          <w:rFonts w:ascii="Times New Roman" w:hAnsi="Times New Roman"/>
          <w:b w:val="false"/>
          <w:i w:val="false"/>
          <w:color w:val="000000"/>
          <w:sz w:val="22"/>
        </w:rPr>
        <w:t xml:space="preserve">, or in the case of Plan K or L, each benefit plan shall be structured in accordance with the format provided in </w:t>
      </w:r>
      <w:hyperlink r:id="rId104">
        <w:r>
          <w:rPr>
            <w:rStyle w:val="Hyperlink"/>
            <w:rFonts w:ascii="Times New Roman" w:hAnsi="Times New Roman"/>
            <w:b w:val="false"/>
            <w:i w:val="false"/>
            <w:color w:val="000000"/>
            <w:sz w:val="22"/>
          </w:rPr>
          <w:t>paragraph 37.8(4)</w:t>
        </w:r>
        <w:r>
          <w:rPr>
            <w:rFonts w:ascii="Times New Roman" w:hAnsi="Times New Roman"/>
            <w:b w:val="false"/>
            <w:i/>
            <w:color w:val="000000"/>
            <w:sz w:val="22"/>
          </w:rPr>
          <w:t>“h”</w:t>
        </w:r>
      </w:hyperlink>
      <w:r>
        <w:rPr>
          <w:rFonts w:ascii="Times New Roman" w:hAnsi="Times New Roman"/>
          <w:b w:val="false"/>
          <w:i w:val="false"/>
          <w:color w:val="000000"/>
          <w:sz w:val="22"/>
        </w:rPr>
        <w:t xml:space="preserve"> or </w:t>
      </w:r>
      <w:hyperlink r:id="rId105">
        <w:r>
          <w:rPr>
            <w:rStyle w:val="Hyperlink"/>
            <w:rFonts w:ascii="Times New Roman" w:hAnsi="Times New Roman"/>
            <w:b w:val="false"/>
            <w:i w:val="false"/>
            <w:color w:val="000000"/>
            <w:sz w:val="22"/>
          </w:rPr>
          <w:t/>
        </w:r>
        <w:r>
          <w:rPr>
            <w:rFonts w:ascii="Times New Roman" w:hAnsi="Times New Roman"/>
            <w:b w:val="false"/>
            <w:i/>
            <w:color w:val="000000"/>
            <w:sz w:val="22"/>
          </w:rPr>
          <w:t>“i.”</w:t>
        </w:r>
      </w:hyperlink>
      <w:r>
        <w:rPr>
          <w:rFonts w:ascii="Times New Roman" w:hAnsi="Times New Roman"/>
          <w:b w:val="false"/>
          <w:i w:val="false"/>
          <w:color w:val="000000"/>
          <w:sz w:val="22"/>
        </w:rPr>
        <w:t xml:space="preserve"> Each plan shall list the benefits in the order shown. For purposes of this rule, “structure, language, and format” means style, arrangement and overall content of a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Other designations may be used. </w:t>
      </w:r>
      <w:r>
        <w:rPr>
          <w:rFonts w:ascii="Times New Roman" w:hAnsi="Times New Roman"/>
          <w:b w:val="false"/>
          <w:i w:val="false"/>
          <w:color w:val="000000"/>
          <w:sz w:val="22"/>
        </w:rPr>
        <w:t xml:space="preserve">An issuer may use, in addition to the benefit plan designations required in </w:t>
      </w:r>
      <w:hyperlink r:id="rId106">
        <w:r>
          <w:rPr>
            <w:rStyle w:val="Hyperlink"/>
            <w:rFonts w:ascii="Times New Roman" w:hAnsi="Times New Roman"/>
            <w:b w:val="false"/>
            <w:i w:val="false"/>
            <w:color w:val="000000"/>
            <w:sz w:val="22"/>
          </w:rPr>
          <w:t>paragraph 37.8(1)</w:t>
        </w:r>
      </w:hyperlink>
      <w:r>
        <w:rPr>
          <w:rFonts w:ascii="Times New Roman" w:hAnsi="Times New Roman"/>
          <w:b w:val="false"/>
          <w:i/>
          <w:color w:val="000000"/>
          <w:sz w:val="22"/>
        </w:rPr>
        <w:t>“b,”</w:t>
      </w:r>
      <w:r>
        <w:rPr>
          <w:rFonts w:ascii="Times New Roman" w:hAnsi="Times New Roman"/>
          <w:b w:val="false"/>
          <w:i w:val="false"/>
          <w:color w:val="000000"/>
          <w:sz w:val="22"/>
        </w:rPr>
        <w:t xml:space="preserve"> other designations to the extent permitted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Preexisting conditions. </w:t>
      </w:r>
      <w:r>
        <w:rPr>
          <w:rFonts w:ascii="Times New Roman" w:hAnsi="Times New Roman"/>
          <w:b w:val="false"/>
          <w:i w:val="false"/>
          <w:color w:val="000000"/>
          <w:sz w:val="22"/>
        </w:rPr>
        <w:t>A 2010 plan shall not exclude or limit benefits for losses incurred more than six months from the effective date of coverage because the losses involved a preexisting condition. The 2010 plan may not define a preexisting condition more restrictively than a condition for which medical advice was given or treatment was recommended by or received from a physician within six months before the effective date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Sickness same as accident. </w:t>
      </w:r>
      <w:r>
        <w:rPr>
          <w:rFonts w:ascii="Times New Roman" w:hAnsi="Times New Roman"/>
          <w:b w:val="false"/>
          <w:i w:val="false"/>
          <w:color w:val="000000"/>
          <w:sz w:val="22"/>
        </w:rPr>
        <w:t>A 2010 plan shall not indemnify against losses resulting from sickness on a different basis than losses resulting from accidents.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Automatic change of cost sharing. </w:t>
      </w:r>
      <w:r>
        <w:rPr>
          <w:rFonts w:ascii="Times New Roman" w:hAnsi="Times New Roman"/>
          <w:b w:val="false"/>
          <w:i w:val="false"/>
          <w:color w:val="000000"/>
          <w:sz w:val="22"/>
        </w:rPr>
        <w:t>A 2010 plan shall provide that benefits designed to cover cost-sharing amounts under Medicare will be changed automatically to coincide with any changes in the applicable Medicare deductible, copayment, or coinsurance amounts. Premiums may be modified to correspond with such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Termination of coverage of spouse. </w:t>
      </w:r>
      <w:r>
        <w:rPr>
          <w:rFonts w:ascii="Times New Roman" w:hAnsi="Times New Roman"/>
          <w:b w:val="false"/>
          <w:i w:val="false"/>
          <w:color w:val="000000"/>
          <w:sz w:val="22"/>
        </w:rPr>
        <w:t>No 2010 plan shall provide for termination of coverage of a spouse solely because of the occurrence of an event specified for termination of coverage of the named insured or group member, other than the nonpayment of premium.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Guaranteed renewability. </w:t>
      </w:r>
      <w:r>
        <w:rPr>
          <w:rFonts w:ascii="Times New Roman" w:hAnsi="Times New Roman"/>
          <w:b w:val="false"/>
          <w:i w:val="false"/>
          <w:color w:val="000000"/>
          <w:sz w:val="22"/>
        </w:rPr>
        <w:t>Each 2010 plan shall be guaranteed renewable.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 shall not cancel or nonrenew the policy or certificate solely on the ground of health status of the covered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 shall not cancel or nonrenew the 2010 plan for any reason other than nonpayment of premium or material misrepresentation.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group 2010 plan is terminated by the group policyholder and is not replaced as provided under </w:t>
      </w:r>
      <w:hyperlink r:id="rId107">
        <w:r>
          <w:rPr>
            <w:rStyle w:val="Hyperlink"/>
            <w:rFonts w:ascii="Times New Roman" w:hAnsi="Times New Roman"/>
            <w:b w:val="false"/>
            <w:i w:val="false"/>
            <w:color w:val="000000"/>
            <w:sz w:val="22"/>
          </w:rPr>
          <w:t>subparagraph 37.8(1)</w:t>
        </w:r>
      </w:hyperlink>
      <w:r>
        <w:rPr>
          <w:rFonts w:ascii="Times New Roman" w:hAnsi="Times New Roman"/>
          <w:b w:val="false"/>
          <w:i/>
          <w:color w:val="000000"/>
          <w:sz w:val="22"/>
        </w:rPr>
        <w:t>“h”</w:t>
      </w:r>
      <w:r>
        <w:rPr>
          <w:rFonts w:ascii="Times New Roman" w:hAnsi="Times New Roman"/>
          <w:b w:val="false"/>
          <w:i w:val="false"/>
          <w:color w:val="000000"/>
          <w:sz w:val="22"/>
        </w:rPr>
        <w:t>(5), the issuer shall offer covered individuals a conversion opportunity to an individual 2010 plan which, at the option of the covered individual,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Provides for continuation of the benefits contained in the group 2010 plan;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for benefits that otherwise meet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covered individual under a group 2010 plan terminates membership in the group, the issuer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Offer the covered individual the conversion opportunity described in </w:t>
      </w:r>
      <w:hyperlink r:id="rId108">
        <w:r>
          <w:rPr>
            <w:rStyle w:val="Hyperlink"/>
            <w:rFonts w:ascii="Times New Roman" w:hAnsi="Times New Roman"/>
            <w:b w:val="false"/>
            <w:i w:val="false"/>
            <w:color w:val="000000"/>
            <w:sz w:val="22"/>
          </w:rPr>
          <w:t>subparagraph 37.8(1)</w:t>
        </w:r>
      </w:hyperlink>
      <w:r>
        <w:rPr>
          <w:rFonts w:ascii="Times New Roman" w:hAnsi="Times New Roman"/>
          <w:b w:val="false"/>
          <w:i/>
          <w:color w:val="000000"/>
          <w:sz w:val="22"/>
        </w:rPr>
        <w:t>“h”</w:t>
      </w:r>
      <w:r>
        <w:rPr>
          <w:rFonts w:ascii="Times New Roman" w:hAnsi="Times New Roman"/>
          <w:b w:val="false"/>
          <w:i w:val="false"/>
          <w:color w:val="000000"/>
          <w:sz w:val="22"/>
        </w:rPr>
        <w:t>(3);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option of the group policyholder, offer the covered individual continuation of coverage under the group 2010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group 2010 plan is replaced by another group Medicare supplement policy purchased by the same group policyholder, the issuer of the replacement group Medicare supplement policy shall offer coverage under the replacement group Medicare supplement policy to all covered individuals of the replaced group 2010 plan on the effective date of termination of the replaced group 2010 plan. Coverage under the replacement group Medicare supplement policy shall not result in any exclusion for any covered individual’s preexisting conditions that would have been covered under the replaced group 2010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Termination involving continuous loss. </w:t>
      </w:r>
      <w:r>
        <w:rPr>
          <w:rFonts w:ascii="Times New Roman" w:hAnsi="Times New Roman"/>
          <w:b w:val="false"/>
          <w:i w:val="false"/>
          <w:color w:val="000000"/>
          <w:sz w:val="22"/>
        </w:rPr>
        <w:t>Termination of a 2010 plan policy or certificate shall be without prejudice to any continuous loss which commenced while the policy or certificate was in force, but the extension of benefits beyond the period during which the policy or certificate was in force may be conditioned upon the continuous total disability of the covered individual, limited to the duration of the policy or certificate benefit period, if any, or payment of the maximum benefits. Receipt of Medicare Part D benefits will not be considered in determining a continuous loss.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Suspension for Title XIX coverage.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2010 plan shall provide that benefits and premiums under the policy or certificate shall be suspended at the request of the covered individual for the period (not to exceed 24 months) in which the covered individual has applied for and is determined to be entitled to medical assistance under </w:t>
      </w:r>
      <w:r>
        <w:rPr>
          <w:rFonts w:ascii="Times New Roman" w:hAnsi="Times New Roman"/>
          <w:b w:val="false"/>
          <w:i w:val="false"/>
          <w:color w:val="000000"/>
          <w:sz w:val="22"/>
        </w:rPr>
        <w:t>Title XIX of the Social Security Act</w:t>
      </w:r>
      <w:r>
        <w:rPr>
          <w:rFonts w:ascii="Times New Roman" w:hAnsi="Times New Roman"/>
          <w:b w:val="false"/>
          <w:i w:val="false"/>
          <w:color w:val="000000"/>
          <w:sz w:val="22"/>
        </w:rPr>
        <w:t>, but only if the covered individual notifies the issuer of the policy or certificate within 90 days after the date the covered individual becomes entitled to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suspension occurs and if the covered individual loses entitlement to medical assistance, the policy or certificate shall be automatically reinstituted effective as of the date of termination of entitlement if the covered individual provides notice of loss of entitlement within 90 days after the date of loss and pays the premium attributable to the period, effective as of the date of termination of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Each 2010 plan shall provide that benefits and premiums under the 2010 plan shall be suspended (for any period that may be provided by federal regulation) at the request of the covered individual if the covered individual is entitled to benefits under </w:t>
      </w:r>
      <w:r>
        <w:rPr>
          <w:rFonts w:ascii="Times New Roman" w:hAnsi="Times New Roman"/>
          <w:b w:val="false"/>
          <w:i w:val="false"/>
          <w:color w:val="000000"/>
          <w:sz w:val="22"/>
        </w:rPr>
        <w:t>Section 226(b) of the Social Security Act</w:t>
      </w:r>
      <w:r>
        <w:rPr>
          <w:rFonts w:ascii="Times New Roman" w:hAnsi="Times New Roman"/>
          <w:b w:val="false"/>
          <w:i w:val="false"/>
          <w:color w:val="000000"/>
          <w:sz w:val="22"/>
        </w:rPr>
        <w:t xml:space="preserve"> and is covered under a group health plan as defined in </w:t>
      </w:r>
      <w:r>
        <w:rPr>
          <w:rFonts w:ascii="Times New Roman" w:hAnsi="Times New Roman"/>
          <w:b w:val="false"/>
          <w:i w:val="false"/>
          <w:color w:val="000000"/>
          <w:sz w:val="22"/>
        </w:rPr>
        <w:t>Section 1862(b)(1)(A)(v) of the Social Security Act</w:t>
      </w:r>
      <w:r>
        <w:rPr>
          <w:rFonts w:ascii="Times New Roman" w:hAnsi="Times New Roman"/>
          <w:b w:val="false"/>
          <w:i w:val="false"/>
          <w:color w:val="000000"/>
          <w:sz w:val="22"/>
        </w:rPr>
        <w:t>. If suspension occurs and if the covered individual loses coverage under the group health plan, the 2010 plan policy or certificate shall be automatically reinstituted effective as of the date of loss of coverage if the covered individual provides notice to the issuer of loss of coverage within 90 days after the date of the loss and pays the premium attributable to the period, effective as of the date of termination of such entitlement.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Reinstitution of coverage as described in subparagraphs </w:t>
      </w:r>
      <w:hyperlink r:id="rId109">
        <w:r>
          <w:rPr>
            <w:rStyle w:val="Hyperlink"/>
            <w:rFonts w:ascii="Times New Roman" w:hAnsi="Times New Roman"/>
            <w:b w:val="false"/>
            <w:i w:val="false"/>
            <w:color w:val="000000"/>
            <w:sz w:val="22"/>
          </w:rPr>
          <w:t>37.8(1)</w:t>
        </w:r>
      </w:hyperlink>
      <w:r>
        <w:rPr>
          <w:rFonts w:ascii="Times New Roman" w:hAnsi="Times New Roman"/>
          <w:b w:val="false"/>
          <w:i/>
          <w:color w:val="000000"/>
          <w:sz w:val="22"/>
        </w:rPr>
        <w:t>“j”</w:t>
      </w:r>
      <w:r>
        <w:rPr>
          <w:rFonts w:ascii="Times New Roman" w:hAnsi="Times New Roman"/>
          <w:b w:val="false"/>
          <w:i w:val="false"/>
          <w:color w:val="000000"/>
          <w:sz w:val="22"/>
        </w:rPr>
        <w:t>(2) and (3):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Shall not provide for any waiting period with respect to treatment of preexisting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Shall provide for resumption of coverage that is substantially equivalent to coverage in effect before the date of suspension;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Shall provide for classification of premiums on terms at least as favorable to the covered individual as the premium classification terms that would have applied to the covered individual had the coverage not been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37.8(2)</w:t>
      </w:r>
      <w:r>
        <w:rPr>
          <w:rFonts w:ascii="Times New Roman" w:hAnsi="Times New Roman"/>
          <w:b w:val="false"/>
          <w:i w:val="false"/>
          <w:color w:val="000000"/>
          <w:sz w:val="22"/>
        </w:rPr>
        <w:t> </w:t>
      </w:r>
      <w:r>
        <w:rPr>
          <w:rFonts w:ascii="Times New Roman" w:hAnsi="Times New Roman"/>
          <w:b w:val="false"/>
          <w:i/>
          <w:color w:val="000000"/>
          <w:sz w:val="22"/>
        </w:rPr>
        <w:t xml:space="preserve">Standards for basic core benefits common to 2010 standardized Medicare supplement benefit Plans A, B, C, D, F, F with high deductible, G, M, and N (2010 basic core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Availability of basic core benefits required. </w:t>
      </w:r>
      <w:r>
        <w:rPr>
          <w:rFonts w:ascii="Times New Roman" w:hAnsi="Times New Roman"/>
          <w:b w:val="false"/>
          <w:i w:val="false"/>
          <w:color w:val="000000"/>
          <w:sz w:val="22"/>
        </w:rPr>
        <w:t>Every issuer of 2010 plans shall make available to each prospective covered individual a 2010 plan including only the following 2010 basic core benefits. An issuer may make available to a prospective covered individual any of the issuer’s other Medicare supplement benefit plans in addition to the 2010 plan of basic core benefits, but not in lieu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issuer must make certain plans available. </w:t>
      </w:r>
      <w:r>
        <w:rPr>
          <w:rFonts w:ascii="Times New Roman" w:hAnsi="Times New Roman"/>
          <w:b w:val="false"/>
          <w:i w:val="false"/>
          <w:color w:val="000000"/>
          <w:sz w:val="22"/>
        </w:rPr>
        <w:t xml:space="preserve">If an issuer makes available any of the additional benefits described in </w:t>
      </w:r>
      <w:hyperlink r:id="rId110">
        <w:r>
          <w:rPr>
            <w:rStyle w:val="Hyperlink"/>
            <w:rFonts w:ascii="Times New Roman" w:hAnsi="Times New Roman"/>
            <w:b w:val="false"/>
            <w:i w:val="false"/>
            <w:color w:val="000000"/>
            <w:sz w:val="22"/>
          </w:rPr>
          <w:t>subrule 37.8(3)</w:t>
        </w:r>
      </w:hyperlink>
      <w:r>
        <w:rPr>
          <w:rFonts w:ascii="Times New Roman" w:hAnsi="Times New Roman"/>
          <w:b w:val="false"/>
          <w:i w:val="false"/>
          <w:color w:val="000000"/>
          <w:sz w:val="22"/>
        </w:rPr>
        <w:t xml:space="preserve"> or offers standardized benefit Plans K or L (as described in paragraphs </w:t>
      </w:r>
      <w:hyperlink r:id="rId111">
        <w:r>
          <w:rPr>
            <w:rStyle w:val="Hyperlink"/>
            <w:rFonts w:ascii="Times New Roman" w:hAnsi="Times New Roman"/>
            <w:b w:val="false"/>
            <w:i w:val="false"/>
            <w:color w:val="000000"/>
            <w:sz w:val="22"/>
          </w:rPr>
          <w:t>37.8(4)</w:t>
        </w:r>
      </w:hyperlink>
      <w:r>
        <w:rPr>
          <w:rFonts w:ascii="Times New Roman" w:hAnsi="Times New Roman"/>
          <w:b w:val="false"/>
          <w:i/>
          <w:color w:val="000000"/>
          <w:sz w:val="22"/>
        </w:rPr>
        <w:t>“h”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then the issuer shall make available to each prospective covered individual, in addition to a policy form or certificate form with only the 2010 plan basic core benefits as set forth in </w:t>
      </w:r>
      <w:hyperlink r:id="rId112">
        <w:r>
          <w:rPr>
            <w:rStyle w:val="Hyperlink"/>
            <w:rFonts w:ascii="Times New Roman" w:hAnsi="Times New Roman"/>
            <w:b w:val="false"/>
            <w:i w:val="false"/>
            <w:color w:val="000000"/>
            <w:sz w:val="22"/>
          </w:rPr>
          <w:t>paragraph 37.8(2)</w:t>
        </w:r>
      </w:hyperlink>
      <w:r>
        <w:rPr>
          <w:rFonts w:ascii="Times New Roman" w:hAnsi="Times New Roman"/>
          <w:b w:val="false"/>
          <w:i/>
          <w:color w:val="000000"/>
          <w:sz w:val="22"/>
        </w:rPr>
        <w:t>“c,”</w:t>
      </w:r>
      <w:r>
        <w:rPr>
          <w:rFonts w:ascii="Times New Roman" w:hAnsi="Times New Roman"/>
          <w:b w:val="false"/>
          <w:i w:val="false"/>
          <w:color w:val="000000"/>
          <w:sz w:val="22"/>
        </w:rPr>
        <w:t xml:space="preserve"> a policy form or certificate form containing either standardized benefit Plan C (as described in </w:t>
      </w:r>
      <w:hyperlink r:id="rId113">
        <w:r>
          <w:rPr>
            <w:rStyle w:val="Hyperlink"/>
            <w:rFonts w:ascii="Times New Roman" w:hAnsi="Times New Roman"/>
            <w:b w:val="false"/>
            <w:i w:val="false"/>
            <w:color w:val="000000"/>
            <w:sz w:val="22"/>
          </w:rPr>
          <w:t>paragraph 37.8(4)</w:t>
        </w:r>
      </w:hyperlink>
      <w:r>
        <w:rPr>
          <w:rFonts w:ascii="Times New Roman" w:hAnsi="Times New Roman"/>
          <w:b w:val="false"/>
          <w:i/>
          <w:color w:val="000000"/>
          <w:sz w:val="22"/>
        </w:rPr>
        <w:t>“c”</w:t>
      </w:r>
      <w:r>
        <w:rPr>
          <w:rFonts w:ascii="Times New Roman" w:hAnsi="Times New Roman"/>
          <w:b w:val="false"/>
          <w:i w:val="false"/>
          <w:color w:val="000000"/>
          <w:sz w:val="22"/>
        </w:rPr>
        <w:t xml:space="preserve">) or a standardized benefit Plan F (as described in </w:t>
      </w:r>
      <w:hyperlink r:id="rId114">
        <w:r>
          <w:rPr>
            <w:rStyle w:val="Hyperlink"/>
            <w:rFonts w:ascii="Times New Roman" w:hAnsi="Times New Roman"/>
            <w:b w:val="false"/>
            <w:i w:val="false"/>
            <w:color w:val="000000"/>
            <w:sz w:val="22"/>
          </w:rPr>
          <w:t>paragraph 37.8(4)</w:t>
        </w:r>
      </w:hyperlink>
      <w:r>
        <w:rPr>
          <w:rFonts w:ascii="Times New Roman" w:hAnsi="Times New Roman"/>
          <w:b w:val="false"/>
          <w:i/>
          <w:color w:val="000000"/>
          <w:sz w:val="22"/>
        </w:rPr>
        <w:t>“e”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2010 plan basic core benefits. </w:t>
      </w:r>
      <w:r>
        <w:rPr>
          <w:rFonts w:ascii="Times New Roman" w:hAnsi="Times New Roman"/>
          <w:b w:val="false"/>
          <w:i w:val="false"/>
          <w:color w:val="000000"/>
          <w:sz w:val="22"/>
        </w:rPr>
        <w:t>The 2010 plan basic core benefits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Hospitalization days 61 through 90: coverage of Part A Medicare-eligible expenses for hospitalization, to the extent not covered by Medicare, from the sixty-first day through the ninetieth day in any Medicare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Hospitalization for reserve days: coverage of Part A Medicare-eligible expenses incurred for hospitalization to the extent not covered by Medicare for each Medicare lifetime inpatient reserve day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Hospitalization for additional 365 days: upon exhaustion of the Medicare hospital inpatient coverage, including the lifetime reserve days, coverage of 100 percent of the Medicare Part A eligible expenses for hospitalization paid at the applicable PPS rate, or other appropriate Medicare standard of payment, subject to a lifetime maximum benefit of an additional 365 days. Medicare requires that the provider shall accept the issuer’s payment as payment in full and that the provider may not bill the covered individual for any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Blood: coverage under Medicare Parts A and B for the reasonable cost of the first three pints of blood (or equivalent quantities of packed red blood cells, as defined under federal regulations) unless replaced in accordance with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Coinsurance: coverage for the coinsurance amount or, in the case of hospital outpatient department services paid under a PPS, the copayment amount of Medicare-eligible expenses under Part B regardless of hospital confinement, subject to the Medicare Part B deductible;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Hospice care: coverage of cost sharing for all Part A Medicare-eligible hospice care and respite care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37.8(3)</w:t>
      </w:r>
      <w:r>
        <w:rPr>
          <w:rFonts w:ascii="Times New Roman" w:hAnsi="Times New Roman"/>
          <w:b w:val="false"/>
          <w:i w:val="false"/>
          <w:color w:val="000000"/>
          <w:sz w:val="22"/>
        </w:rPr>
        <w:t> </w:t>
      </w:r>
      <w:r>
        <w:rPr>
          <w:rFonts w:ascii="Times New Roman" w:hAnsi="Times New Roman"/>
          <w:b w:val="false"/>
          <w:i/>
          <w:color w:val="000000"/>
          <w:sz w:val="22"/>
        </w:rPr>
        <w:t xml:space="preserve">Standards for 2010 plan additional benefits. </w:t>
      </w:r>
      <w:r>
        <w:rPr>
          <w:rFonts w:ascii="Times New Roman" w:hAnsi="Times New Roman"/>
          <w:b w:val="false"/>
          <w:i w:val="false"/>
          <w:color w:val="000000"/>
          <w:sz w:val="22"/>
        </w:rPr>
        <w:t xml:space="preserve">The following additional benefits shall be included in 2010 plan Plans B, C, D, F, F with high deductible, G, M, and N as provided by </w:t>
      </w:r>
      <w:hyperlink r:id="rId115">
        <w:r>
          <w:rPr>
            <w:rStyle w:val="Hyperlink"/>
            <w:rFonts w:ascii="Times New Roman" w:hAnsi="Times New Roman"/>
            <w:b w:val="false"/>
            <w:i w:val="false"/>
            <w:color w:val="000000"/>
            <w:sz w:val="22"/>
          </w:rPr>
          <w:t>subrule 37.8(4)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Medicare Part A deductible: coverage for 100 percent of the Medicare Part A inpatient hospital deductible amount per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Medicare Part A deductible: coverage for 50 percent of the Medicare Part A inpatient hospital deductible amount per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care: coverage for the actual billed charges up to the coinsurance amount from the twenty-first day through the one hundredth day in a Medicare benefit period for post-hospital skilled nursing facility care eligible under Medicare Part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Medicare Part B deductible: coverage for 100 percent of the Medicare Part B deductible amount per calendar year regardless of hospital confinement;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One hundred percent of the Medicare Part B excess charges: coverage for all of the difference between the actual Medicare Part B charges as billed, not to exceed any charge limitation established by the Medicare program or state law, and the Medicare-approved Part B charge;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Medically necessary emergency care in a foreign country: coverage to the extent not covered by Medicare for 80 percent of the billed charges for Medicare-eligible expenses for medically necessary emergency hospital, physician and medical care received in a foreign country, which care would have been covered by Medicare if provided in the United States and which care began during the first 60 consecutive days of each trip outside the United States, subject to a calendar year deductible of $250 and a lifetime maximum benefit of $50,000. For purposes of this benefit, “emergency care” shall mean care needed immediately because of an injury or an illness of sudden and unexpected onset.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37.8(4)</w:t>
      </w:r>
      <w:r>
        <w:rPr>
          <w:rFonts w:ascii="Times New Roman" w:hAnsi="Times New Roman"/>
          <w:b w:val="false"/>
          <w:i w:val="false"/>
          <w:color w:val="000000"/>
          <w:sz w:val="22"/>
        </w:rPr>
        <w:t> </w:t>
      </w:r>
      <w:r>
        <w:rPr>
          <w:rFonts w:ascii="Times New Roman" w:hAnsi="Times New Roman"/>
          <w:b w:val="false"/>
          <w:i/>
          <w:color w:val="000000"/>
          <w:sz w:val="22"/>
        </w:rPr>
        <w:t xml:space="preserve">Elements required in standardized 2010 Medicare supplement benefit plans. </w:t>
      </w:r>
      <w:r>
        <w:rPr>
          <w:rFonts w:ascii="Times New Roman" w:hAnsi="Times New Roman"/>
          <w:b w:val="false"/>
          <w:i w:val="false"/>
          <w:color w:val="000000"/>
          <w:sz w:val="22"/>
        </w:rPr>
        <w:t>The 2010 plans shall include the benefits, as described for each plan,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Plan A shall include only the following: the basic core benefits as set forth in </w:t>
      </w:r>
      <w:hyperlink r:id="rId116">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 B shall include only the following: the basic core benefits as set forth in </w:t>
      </w:r>
      <w:hyperlink r:id="rId117">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100 percent of the Medicare Part A deductible as defined in </w:t>
      </w:r>
      <w:hyperlink r:id="rId118">
        <w:r>
          <w:rPr>
            <w:rStyle w:val="Hyperlink"/>
            <w:rFonts w:ascii="Times New Roman" w:hAnsi="Times New Roman"/>
            <w:b w:val="false"/>
            <w:i w:val="false"/>
            <w:color w:val="000000"/>
            <w:sz w:val="22"/>
          </w:rPr>
          <w:t>paragraph 37.8(3)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Plan C shall include only the following: the basic core benefits as set forth in </w:t>
      </w:r>
      <w:hyperlink r:id="rId119">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100 percent of the Medicare Part A deductible, skilled nursing facility care, 100 percent of the Medicare Part B deductible, and medically necessary emergency care in a foreign country as defined in paragraphs </w:t>
      </w:r>
      <w:hyperlink r:id="rId120">
        <w:r>
          <w:rPr>
            <w:rStyle w:val="Hyperlink"/>
            <w:rFonts w:ascii="Times New Roman" w:hAnsi="Times New Roman"/>
            <w:b w:val="false"/>
            <w:i w:val="false"/>
            <w:color w:val="000000"/>
            <w:sz w:val="22"/>
          </w:rPr>
          <w:t>37.8(3)</w:t>
        </w:r>
      </w:hyperlink>
      <w:r>
        <w:rPr>
          <w:rFonts w:ascii="Times New Roman" w:hAnsi="Times New Roman"/>
          <w:b w:val="false"/>
          <w:i/>
          <w:color w:val="000000"/>
          <w:sz w:val="22"/>
        </w:rPr>
        <w:t>“a,”</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Plan D shall include only the following: the basic core benefits as set forth in </w:t>
      </w:r>
      <w:hyperlink r:id="rId121">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100 percent of the Medicare Part A deductible, skilled nursing facility care, and medically necessary emergency care in a foreign country as defined in paragraphs </w:t>
      </w:r>
      <w:hyperlink r:id="rId122">
        <w:r>
          <w:rPr>
            <w:rStyle w:val="Hyperlink"/>
            <w:rFonts w:ascii="Times New Roman" w:hAnsi="Times New Roman"/>
            <w:b w:val="false"/>
            <w:i w:val="false"/>
            <w:color w:val="000000"/>
            <w:sz w:val="22"/>
          </w:rPr>
          <w:t>37.8(3)</w:t>
        </w:r>
      </w:hyperlink>
      <w:r>
        <w:rPr>
          <w:rFonts w:ascii="Times New Roman" w:hAnsi="Times New Roman"/>
          <w:b w:val="false"/>
          <w:i/>
          <w:color w:val="000000"/>
          <w:sz w:val="22"/>
        </w:rPr>
        <w:t>“a,”</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Plan F shall include only the following: the basic core benefits as set forth in </w:t>
      </w:r>
      <w:hyperlink r:id="rId123">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100 percent of the Medicare Part A deductible, skilled nursing facility care, 100 percent of the Medicare Part B deductible, 100 percent of the Medicare Part B excess charges, and medically necessary emergency care in a foreign country as defined in paragraphs </w:t>
      </w:r>
      <w:hyperlink r:id="rId124">
        <w:r>
          <w:rPr>
            <w:rStyle w:val="Hyperlink"/>
            <w:rFonts w:ascii="Times New Roman" w:hAnsi="Times New Roman"/>
            <w:b w:val="false"/>
            <w:i w:val="false"/>
            <w:color w:val="000000"/>
            <w:sz w:val="22"/>
          </w:rPr>
          <w:t>37.8(3)</w:t>
        </w:r>
      </w:hyperlink>
      <w:r>
        <w:rPr>
          <w:rFonts w:ascii="Times New Roman" w:hAnsi="Times New Roman"/>
          <w:b w:val="false"/>
          <w:i/>
          <w:color w:val="000000"/>
          <w:sz w:val="22"/>
        </w:rPr>
        <w:t>“a,”</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Plan F with high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F with high deductible shall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One hundred percent of covered expenses following the payment of the annual deductible set forth in </w:t>
      </w:r>
      <w:hyperlink r:id="rId125">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“f”</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basic core benefits as set forth in </w:t>
      </w:r>
      <w:hyperlink r:id="rId126">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100 percent of the Medicare Part A deductible, skilled nursing facility care, 100 percent of the Medicare Part B deductible, 100 percent of the Medicare Part B excess charges, and medically necessary emergency care in a foreign country as defined in paragraphs </w:t>
      </w:r>
      <w:hyperlink r:id="rId127">
        <w:r>
          <w:rPr>
            <w:rStyle w:val="Hyperlink"/>
            <w:rFonts w:ascii="Times New Roman" w:hAnsi="Times New Roman"/>
            <w:b w:val="false"/>
            <w:i w:val="false"/>
            <w:color w:val="000000"/>
            <w:sz w:val="22"/>
          </w:rPr>
          <w:t>37.8(3)</w:t>
        </w:r>
      </w:hyperlink>
      <w:r>
        <w:rPr>
          <w:rFonts w:ascii="Times New Roman" w:hAnsi="Times New Roman"/>
          <w:b w:val="false"/>
          <w:i/>
          <w:color w:val="000000"/>
          <w:sz w:val="22"/>
        </w:rPr>
        <w:t>“a,”</w:t>
      </w:r>
      <w:r>
        <w:rPr>
          <w:rFonts w:ascii="Times New Roman" w:hAnsi="Times New Roman"/>
          <w:b w:val="false"/>
          <w:i/>
          <w:color w:val="000000"/>
          <w:sz w:val="22"/>
        </w:rPr>
        <w:t>“c,”</w:t>
      </w:r>
      <w:r>
        <w:rPr>
          <w:rFonts w:ascii="Times New Roman" w:hAnsi="Times New Roman"/>
          <w:b w:val="false"/>
          <w:i/>
          <w:color w:val="000000"/>
          <w:sz w:val="22"/>
        </w:rPr>
        <w:t>“d,”</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annual deductible in Plan F with high deductible shall consist of out-of-pocket expenses, other than premiums, for services covered by (regular) Plan F, and shall be in addition to any other specific benefit deductibles. The basis for the deductible shall be $1,500 and shall be adjusted annually from 1999 by the Secretary to reflect the change in the consumer price index for all urban consumers for the 12-month period ending with August of the preceding year, and rounded to the nearest multiple of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Plan G shall include only the following: the core benefits as set forth in </w:t>
      </w:r>
      <w:hyperlink r:id="rId128">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100 percent of the Medicare Part A deductible, skilled nursing facility care, 100 percent of the Medicare Part B excess charges, and medically necessary emergency care in a foreign country as defined in paragraphs </w:t>
      </w:r>
      <w:hyperlink r:id="rId129">
        <w:r>
          <w:rPr>
            <w:rStyle w:val="Hyperlink"/>
            <w:rFonts w:ascii="Times New Roman" w:hAnsi="Times New Roman"/>
            <w:b w:val="false"/>
            <w:i w:val="false"/>
            <w:color w:val="000000"/>
            <w:sz w:val="22"/>
          </w:rPr>
          <w:t>37.8(3)</w:t>
        </w:r>
      </w:hyperlink>
      <w:r>
        <w:rPr>
          <w:rFonts w:ascii="Times New Roman" w:hAnsi="Times New Roman"/>
          <w:b w:val="false"/>
          <w:i/>
          <w:color w:val="000000"/>
          <w:sz w:val="22"/>
        </w:rPr>
        <w:t>“a,”</w:t>
      </w:r>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respectively.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Plan K is mandated by the MMA and shall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Medicare Part A hospital coinsurance from the sixty-first day through the ninetieth day: coverage of 100 percent of the Part A hospital coinsurance amount for each day used from the sixty-first day through the ninetieth day in any Medicare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Medicare Part A hospital coinsurance from the ninety-first day through the one hundred fiftieth day: coverage of 100 percent of the Part A hospital coinsurance amount for each Medicare lifetime inpatient reserve day used from the ninety-first day through the one hundred fiftieth day in any Medicare benefit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Medicare Part A hospitalization after lifetime reserve days are exhausted: upon exhaustion of the Medicare hospital inpatient coverage, including the lifetime reserve days, coverage of 100 percent of the Medicare Part A eligible expenses for hospitalization paid at the applicable PPS rate, or other appropriate Medicare standard of payment, subject to a lifetime maximum benefit of an additional 365 days. The provider shall accept the issuer’s payment as payment in full and may not bill the covered individual for any balance;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 Part A deductible: coverage for 50 percent of the Medicare Part A inpatient hospital deductible amount per benefit period until the out-of-pocket limitation is met as described in </w:t>
      </w:r>
      <w:hyperlink r:id="rId130">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“h”</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Skilled nursing facility care: coverage for 50 percent of the coinsurance amount for each day used from the twenty-first day through the one hundredth day in a Medicare benefit period for post-hospital skilled nursing facility care eligible under Medicare Part A until the out-of-pocket limitation is met as described in </w:t>
      </w:r>
      <w:hyperlink r:id="rId131">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“h”</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Hospice care: coverage for 50 percent of cost sharing for all Medicare Part A eligible expenses and respite care until the out-of-pocket limitation is met as described in </w:t>
      </w:r>
      <w:hyperlink r:id="rId132">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“h”</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Blood: coverage for 50 percent, under Medicare Part A or B, of the reasonable cost of the first three pints of blood (or equivalent quantities of packed red blood cells, as defined under federal regulations) unless replaced in accordance with federal regulations until the out-of-pocket limitation is met as described in </w:t>
      </w:r>
      <w:hyperlink r:id="rId133">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“h”</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Medicare Part B cost sharing: except for coverage provided in </w:t>
      </w:r>
      <w:hyperlink r:id="rId134">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“h”</w:t>
      </w:r>
      <w:r>
        <w:rPr>
          <w:rFonts w:ascii="Times New Roman" w:hAnsi="Times New Roman"/>
          <w:b w:val="false"/>
          <w:i w:val="false"/>
          <w:color w:val="000000"/>
          <w:sz w:val="22"/>
        </w:rPr>
        <w:t xml:space="preserve">(9), coverage for 50 percent of the cost sharing otherwise applicable under Medicare Part B after the covered individual pays the Part B deductible until the out-of-pocket limitation is met as described in </w:t>
      </w:r>
      <w:hyperlink r:id="rId135">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“h”</w:t>
      </w:r>
      <w:r>
        <w:rPr>
          <w:rFonts w:ascii="Times New Roman" w:hAnsi="Times New Roman"/>
          <w:b w:val="false"/>
          <w:i w:val="false"/>
          <w:color w:val="000000"/>
          <w:sz w:val="22"/>
        </w:rPr>
        <w:t>(10);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Medicare Part B preventive services: coverage of 100 percent of the cost sharing for Medicare Part B preventive services after the covered individual pays the Medicare Part B deductible;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 sharing after out-of-pocket limits reached: coverage of 100 percent of all cost sharing under Medicare Parts A and B for the balance of the calendar year after the individual has reached the out-of-pocket limitation on annual expenditures under Medicare Parts A and B of $4,000 in 2006, indexed each year by the appropriate inflation adjustment specified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Plan L is mandated by the MMA and shall include only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benefits described in subparagraphs </w:t>
      </w:r>
      <w:hyperlink r:id="rId136">
        <w:r>
          <w:rPr>
            <w:rStyle w:val="Hyperlink"/>
            <w:rFonts w:ascii="Times New Roman" w:hAnsi="Times New Roman"/>
            <w:b w:val="false"/>
            <w:i w:val="false"/>
            <w:color w:val="000000"/>
            <w:sz w:val="22"/>
          </w:rPr>
          <w:t>37.8(4)</w:t>
        </w:r>
      </w:hyperlink>
      <w:r>
        <w:rPr>
          <w:rFonts w:ascii="Times New Roman" w:hAnsi="Times New Roman"/>
          <w:b w:val="false"/>
          <w:i/>
          <w:color w:val="000000"/>
          <w:sz w:val="22"/>
        </w:rPr>
        <w:t>“h”</w:t>
      </w:r>
      <w:r>
        <w:rPr>
          <w:rFonts w:ascii="Times New Roman" w:hAnsi="Times New Roman"/>
          <w:b w:val="false"/>
          <w:i w:val="false"/>
          <w:color w:val="000000"/>
          <w:sz w:val="22"/>
        </w:rPr>
        <w:t>(1), (2), (3) and (9);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benefits described in subparagraphs </w:t>
      </w:r>
      <w:hyperlink r:id="rId137">
        <w:r>
          <w:rPr>
            <w:rStyle w:val="Hyperlink"/>
            <w:rFonts w:ascii="Times New Roman" w:hAnsi="Times New Roman"/>
            <w:b w:val="false"/>
            <w:i w:val="false"/>
            <w:color w:val="000000"/>
            <w:sz w:val="22"/>
          </w:rPr>
          <w:t>37.8(4)</w:t>
        </w:r>
      </w:hyperlink>
      <w:r>
        <w:rPr>
          <w:rFonts w:ascii="Times New Roman" w:hAnsi="Times New Roman"/>
          <w:b w:val="false"/>
          <w:i/>
          <w:color w:val="000000"/>
          <w:sz w:val="22"/>
        </w:rPr>
        <w:t>“h”</w:t>
      </w:r>
      <w:r>
        <w:rPr>
          <w:rFonts w:ascii="Times New Roman" w:hAnsi="Times New Roman"/>
          <w:b w:val="false"/>
          <w:i w:val="false"/>
          <w:color w:val="000000"/>
          <w:sz w:val="22"/>
        </w:rPr>
        <w:t>(4), (5), (6), (7) and (8), but substituting 75 percent for 50 percent;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benefit described in </w:t>
      </w:r>
      <w:hyperlink r:id="rId138">
        <w:r>
          <w:rPr>
            <w:rStyle w:val="Hyperlink"/>
            <w:rFonts w:ascii="Times New Roman" w:hAnsi="Times New Roman"/>
            <w:b w:val="false"/>
            <w:i w:val="false"/>
            <w:color w:val="000000"/>
            <w:sz w:val="22"/>
          </w:rPr>
          <w:t>subparagraph 37.8(4)</w:t>
        </w:r>
      </w:hyperlink>
      <w:r>
        <w:rPr>
          <w:rFonts w:ascii="Times New Roman" w:hAnsi="Times New Roman"/>
          <w:b w:val="false"/>
          <w:i/>
          <w:color w:val="000000"/>
          <w:sz w:val="22"/>
        </w:rPr>
        <w:t>“h”</w:t>
      </w:r>
      <w:r>
        <w:rPr>
          <w:rFonts w:ascii="Times New Roman" w:hAnsi="Times New Roman"/>
          <w:b w:val="false"/>
          <w:i w:val="false"/>
          <w:color w:val="000000"/>
          <w:sz w:val="22"/>
        </w:rPr>
        <w:t>(10), but substituting $2,000 for $4,000.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Plan M shall include only the following: the basic core benefits as set forth in </w:t>
      </w:r>
      <w:hyperlink r:id="rId139">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50 percent of the Medicare Part A deductible, skilled nursing facility care, and medically necessary emergency care in a foreign country as defined in paragraphs </w:t>
      </w:r>
      <w:hyperlink r:id="rId140">
        <w:r>
          <w:rPr>
            <w:rStyle w:val="Hyperlink"/>
            <w:rFonts w:ascii="Times New Roman" w:hAnsi="Times New Roman"/>
            <w:b w:val="false"/>
            <w:i w:val="false"/>
            <w:color w:val="000000"/>
            <w:sz w:val="22"/>
          </w:rPr>
          <w:t>37.8(3)</w:t>
        </w:r>
      </w:hyperlink>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Plan N shall include only the following: the basic core benefits as set forth in </w:t>
      </w:r>
      <w:hyperlink r:id="rId141">
        <w:r>
          <w:rPr>
            <w:rStyle w:val="Hyperlink"/>
            <w:rFonts w:ascii="Times New Roman" w:hAnsi="Times New Roman"/>
            <w:b w:val="false"/>
            <w:i w:val="false"/>
            <w:color w:val="000000"/>
            <w:sz w:val="22"/>
          </w:rPr>
          <w:t>subrule 37.8(2)</w:t>
        </w:r>
      </w:hyperlink>
      <w:r>
        <w:rPr>
          <w:rFonts w:ascii="Times New Roman" w:hAnsi="Times New Roman"/>
          <w:b w:val="false"/>
          <w:i w:val="false"/>
          <w:color w:val="000000"/>
          <w:sz w:val="22"/>
        </w:rPr>
        <w:t xml:space="preserve">, plus 100 percent of the Medicare Part A deductible, skilled nursing facility care, and medically necessary emergency care in a foreign country as defined in paragraphs </w:t>
      </w:r>
      <w:hyperlink r:id="rId142">
        <w:r>
          <w:rPr>
            <w:rStyle w:val="Hyperlink"/>
            <w:rFonts w:ascii="Times New Roman" w:hAnsi="Times New Roman"/>
            <w:b w:val="false"/>
            <w:i w:val="false"/>
            <w:color w:val="000000"/>
            <w:sz w:val="22"/>
          </w:rPr>
          <w:t>37.8(3)</w:t>
        </w:r>
      </w:hyperlink>
      <w:r>
        <w:rPr>
          <w:rFonts w:ascii="Times New Roman" w:hAnsi="Times New Roman"/>
          <w:b w:val="false"/>
          <w:i/>
          <w:color w:val="000000"/>
          <w:sz w:val="22"/>
        </w:rPr>
        <w:t>“a,”</w:t>
      </w: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respectively, with copayments in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lesser of $20 or the Medicare Part B coinsurance or copayment for each covered provider office visit (including visits to medical specialists);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lesser of $50 or the Medicare Part B coinsurance or copayment for each covered emergency room visit; however, this copayment shall be waived if the covered individual is admitted to any hospital and the emergency visit is subsequently covered as a Medicare Part A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37.8(5)</w:t>
      </w:r>
      <w:r>
        <w:rPr>
          <w:rFonts w:ascii="Times New Roman" w:hAnsi="Times New Roman"/>
          <w:b w:val="false"/>
          <w:i w:val="false"/>
          <w:color w:val="000000"/>
          <w:sz w:val="22"/>
        </w:rPr>
        <w:t> </w:t>
      </w:r>
      <w:r>
        <w:rPr>
          <w:rFonts w:ascii="Times New Roman" w:hAnsi="Times New Roman"/>
          <w:b w:val="false"/>
          <w:i/>
          <w:color w:val="000000"/>
          <w:sz w:val="22"/>
        </w:rPr>
        <w:t xml:space="preserve">New or innovative benefits. </w:t>
      </w:r>
      <w:r>
        <w:rPr>
          <w:rFonts w:ascii="Times New Roman" w:hAnsi="Times New Roman"/>
          <w:b w:val="false"/>
          <w:i w:val="false"/>
          <w:color w:val="000000"/>
          <w:sz w:val="22"/>
        </w:rPr>
        <w:t>An issuer may, with the prior approval of the commissioner, offer policies or certificates with new or innovative benefits, in addition to the standardized benefits provided in a policy or certificate that otherwise complies with the applicable standards. The new or innovative benefits shall include only benefits that are appropriate to Medicare supplement insurance, are new or innovative, are not otherwise available, and are cost-effective. Approval of new or innovative benefits must not adversely impact the goal of Medicare supplement simplification. New or innovative benefits shall not include an outpatient prescription drug benefit. New or innovative benefits shall not be used to change or reduce benefits, including a change of any cost-sharing provision, in any standardized plan.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191—37.9</w:t>
      </w:r>
      <w:r>
        <w:rPr>
          <w:rFonts w:ascii="Times New Roman" w:hAnsi="Times New Roman"/>
          <w:b/>
          <w:i w:val="false"/>
          <w:color w:val="000000"/>
          <w:sz w:val="22"/>
        </w:rPr>
        <w:t xml:space="preserve">(514D) </w:t>
      </w:r>
      <w:r>
        <w:rPr>
          <w:rFonts w:ascii="Times New Roman" w:hAnsi="Times New Roman"/>
          <w:b/>
          <w:i w:val="false"/>
          <w:color w:val="000000"/>
          <w:sz w:val="22"/>
        </w:rPr>
        <w:t xml:space="preserve">Standard Medicare supplement benefit plans for 2020 standardized Medicare supplement benefit plan policies or certificates issued for delivery to individuals newly eligible for Medicare on or after January 1, 2020. </w:t>
      </w:r>
      <w:r>
        <w:rPr>
          <w:rFonts w:ascii="Times New Roman" w:hAnsi="Times New Roman"/>
          <w:b w:val="false"/>
          <w:i w:val="false"/>
          <w:color w:val="000000"/>
          <w:sz w:val="22"/>
        </w:rPr>
        <w:t xml:space="preserve">The Medicare Access and CHIP Reauthorization Act of 2015 (MACRA) requires that the following standards are applicable to all Medicare supplement policies or certificates delivered or issued for delivery in this state to individuals newly eligible for Medicare on or after January 1, 2020. No policy or certificate that provides coverage of the Medicare Part B deductible may be advertised, solicited, delivered or issued for delivery in this state as a Medicare supplement policy or certificate to individuals newly eligible for Medicare on or after January 1, 2020. All policies must comply with the following benefit standards. Benefit plan standards applicable to Medicare supplement policies and certificates issued to individuals eligible for Medicare before January 1, 2020, remain subject to the requirements of rules </w:t>
      </w:r>
      <w:hyperlink r:id="rId143">
        <w:r>
          <w:rPr>
            <w:rStyle w:val="Hyperlink"/>
            <w:rFonts w:ascii="Times New Roman" w:hAnsi="Times New Roman"/>
            <w:b w:val="false"/>
            <w:i w:val="false"/>
            <w:color w:val="000000"/>
            <w:sz w:val="22"/>
          </w:rPr>
          <w:t>191—37.6</w:t>
        </w:r>
      </w:hyperlink>
      <w:r>
        <w:rPr>
          <w:rFonts w:ascii="Times New Roman" w:hAnsi="Times New Roman"/>
          <w:b w:val="false"/>
          <w:i w:val="false"/>
          <w:color w:val="000000"/>
          <w:sz w:val="22"/>
        </w:rPr>
        <w:t xml:space="preserve">(514D), </w:t>
      </w:r>
      <w:hyperlink r:id="rId144">
        <w:r>
          <w:rPr>
            <w:rStyle w:val="Hyperlink"/>
            <w:rFonts w:ascii="Times New Roman" w:hAnsi="Times New Roman"/>
            <w:b w:val="false"/>
            <w:i w:val="false"/>
            <w:color w:val="000000"/>
            <w:sz w:val="22"/>
          </w:rPr>
          <w:t>191—37.7</w:t>
        </w:r>
      </w:hyperlink>
      <w:r>
        <w:rPr>
          <w:rFonts w:ascii="Times New Roman" w:hAnsi="Times New Roman"/>
          <w:b w:val="false"/>
          <w:i w:val="false"/>
          <w:color w:val="000000"/>
          <w:sz w:val="22"/>
        </w:rPr>
        <w:t xml:space="preserve">(514D) and </w:t>
      </w:r>
      <w:hyperlink r:id="rId145">
        <w:r>
          <w:rPr>
            <w:rStyle w:val="Hyperlink"/>
            <w:rFonts w:ascii="Times New Roman" w:hAnsi="Times New Roman"/>
            <w:b w:val="false"/>
            <w:i w:val="false"/>
            <w:color w:val="000000"/>
            <w:sz w:val="22"/>
          </w:rPr>
          <w:t>191—37.8</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37.9(1)</w:t>
      </w:r>
      <w:r>
        <w:rPr>
          <w:rFonts w:ascii="Times New Roman" w:hAnsi="Times New Roman"/>
          <w:b w:val="false"/>
          <w:i w:val="false"/>
          <w:color w:val="000000"/>
          <w:sz w:val="22"/>
        </w:rPr>
        <w:t> </w:t>
      </w:r>
      <w:r>
        <w:rPr>
          <w:rFonts w:ascii="Times New Roman" w:hAnsi="Times New Roman"/>
          <w:b w:val="false"/>
          <w:i/>
          <w:color w:val="000000"/>
          <w:sz w:val="22"/>
        </w:rPr>
        <w:t xml:space="preserve">Benefit requirements. </w:t>
      </w:r>
      <w:r>
        <w:rPr>
          <w:rFonts w:ascii="Times New Roman" w:hAnsi="Times New Roman"/>
          <w:b w:val="false"/>
          <w:i w:val="false"/>
          <w:color w:val="000000"/>
          <w:sz w:val="22"/>
        </w:rPr>
        <w:t xml:space="preserve">The standards and requirements of rule </w:t>
      </w:r>
      <w:hyperlink r:id="rId146">
        <w:r>
          <w:rPr>
            <w:rStyle w:val="Hyperlink"/>
            <w:rFonts w:ascii="Times New Roman" w:hAnsi="Times New Roman"/>
            <w:b w:val="false"/>
            <w:i w:val="false"/>
            <w:color w:val="000000"/>
            <w:sz w:val="22"/>
          </w:rPr>
          <w:t>191—37.8</w:t>
        </w:r>
      </w:hyperlink>
      <w:r>
        <w:rPr>
          <w:rFonts w:ascii="Times New Roman" w:hAnsi="Times New Roman"/>
          <w:b w:val="false"/>
          <w:i w:val="false"/>
          <w:color w:val="000000"/>
          <w:sz w:val="22"/>
        </w:rPr>
        <w:t>(514D) shall apply to all Medicare supplement policies or certificates delivered or issued for delivery to individuals newly eligible for Medicare on or after January 1, 2020,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Plan C is redesignated as Plan D and shall provide the benefits contained in </w:t>
      </w:r>
      <w:hyperlink r:id="rId147">
        <w:r>
          <w:rPr>
            <w:rStyle w:val="Hyperlink"/>
            <w:rFonts w:ascii="Times New Roman" w:hAnsi="Times New Roman"/>
            <w:b w:val="false"/>
            <w:i w:val="false"/>
            <w:color w:val="000000"/>
            <w:sz w:val="22"/>
          </w:rPr>
          <w:t>paragraph 37.8(4)</w:t>
        </w:r>
      </w:hyperlink>
      <w:r>
        <w:rPr>
          <w:rFonts w:ascii="Times New Roman" w:hAnsi="Times New Roman"/>
          <w:b w:val="false"/>
          <w:i/>
          <w:color w:val="000000"/>
          <w:sz w:val="22"/>
        </w:rPr>
        <w:t>“c”</w:t>
      </w:r>
      <w:r>
        <w:rPr>
          <w:rFonts w:ascii="Times New Roman" w:hAnsi="Times New Roman"/>
          <w:b w:val="false"/>
          <w:i w:val="false"/>
          <w:color w:val="000000"/>
          <w:sz w:val="22"/>
        </w:rPr>
        <w:t xml:space="preserve"> but shall not provide coverage for 100 percent or any portion of the Medicare Part B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Plan F is redesignated as Plan G and shall provide the benefits contained in </w:t>
      </w:r>
      <w:hyperlink r:id="rId148">
        <w:r>
          <w:rPr>
            <w:rStyle w:val="Hyperlink"/>
            <w:rFonts w:ascii="Times New Roman" w:hAnsi="Times New Roman"/>
            <w:b w:val="false"/>
            <w:i w:val="false"/>
            <w:color w:val="000000"/>
            <w:sz w:val="22"/>
          </w:rPr>
          <w:t>paragraph 37.8(4)</w:t>
        </w:r>
      </w:hyperlink>
      <w:r>
        <w:rPr>
          <w:rFonts w:ascii="Times New Roman" w:hAnsi="Times New Roman"/>
          <w:b w:val="false"/>
          <w:i/>
          <w:color w:val="000000"/>
          <w:sz w:val="22"/>
        </w:rPr>
        <w:t>“e”</w:t>
      </w:r>
      <w:r>
        <w:rPr>
          <w:rFonts w:ascii="Times New Roman" w:hAnsi="Times New Roman"/>
          <w:b w:val="false"/>
          <w:i w:val="false"/>
          <w:color w:val="000000"/>
          <w:sz w:val="22"/>
        </w:rPr>
        <w:t xml:space="preserve"> but shall not provide coverage for 100 percent or any portion of the Medicare Part B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Plans C, F, and F with high deductible may not be offered to individuals newly eligible for Medicare on or after January 1, 2020.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Plan F with high deductible is redesignated as Plan G with high deductible and shall provide the benefits contained in </w:t>
      </w:r>
      <w:hyperlink r:id="rId149">
        <w:r>
          <w:rPr>
            <w:rStyle w:val="Hyperlink"/>
            <w:rFonts w:ascii="Times New Roman" w:hAnsi="Times New Roman"/>
            <w:b w:val="false"/>
            <w:i w:val="false"/>
            <w:color w:val="000000"/>
            <w:sz w:val="22"/>
          </w:rPr>
          <w:t>paragraph 37.8(4)</w:t>
        </w:r>
      </w:hyperlink>
      <w:r>
        <w:rPr>
          <w:rFonts w:ascii="Times New Roman" w:hAnsi="Times New Roman"/>
          <w:b w:val="false"/>
          <w:i/>
          <w:color w:val="000000"/>
          <w:sz w:val="22"/>
        </w:rPr>
        <w:t>“f,”</w:t>
      </w:r>
      <w:r>
        <w:rPr>
          <w:rFonts w:ascii="Times New Roman" w:hAnsi="Times New Roman"/>
          <w:b w:val="false"/>
          <w:i w:val="false"/>
          <w:color w:val="000000"/>
          <w:sz w:val="22"/>
        </w:rPr>
        <w:t xml:space="preserve"> but shall not provide coverage for 100 percent or any portion of the Medicare Part B deductible; provided further that the Medicare Part B deductible paid by the covered individual shall be considered an out-of-pocket expense in meeting the annual high deductible.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reference to Plan C or F contained in </w:t>
      </w:r>
      <w:hyperlink r:id="rId150">
        <w:r>
          <w:rPr>
            <w:rStyle w:val="Hyperlink"/>
            <w:rFonts w:ascii="Times New Roman" w:hAnsi="Times New Roman"/>
            <w:b w:val="false"/>
            <w:i w:val="false"/>
            <w:color w:val="000000"/>
            <w:sz w:val="22"/>
          </w:rPr>
          <w:t>paragraph 37.8(2)</w:t>
        </w:r>
      </w:hyperlink>
      <w:r>
        <w:rPr>
          <w:rFonts w:ascii="Times New Roman" w:hAnsi="Times New Roman"/>
          <w:b w:val="false"/>
          <w:i/>
          <w:color w:val="000000"/>
          <w:sz w:val="22"/>
        </w:rPr>
        <w:t>“b”</w:t>
      </w:r>
      <w:r>
        <w:rPr>
          <w:rFonts w:ascii="Times New Roman" w:hAnsi="Times New Roman"/>
          <w:b w:val="false"/>
          <w:i w:val="false"/>
          <w:color w:val="000000"/>
          <w:sz w:val="22"/>
        </w:rPr>
        <w:t xml:space="preserve"> is deemed a reference to Plan D or G 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37.9(2)</w:t>
      </w:r>
      <w:r>
        <w:rPr>
          <w:rFonts w:ascii="Times New Roman" w:hAnsi="Times New Roman"/>
          <w:b w:val="false"/>
          <w:i w:val="false"/>
          <w:color w:val="000000"/>
          <w:sz w:val="22"/>
        </w:rPr>
        <w:t> </w:t>
      </w:r>
      <w:r>
        <w:rPr>
          <w:rFonts w:ascii="Times New Roman" w:hAnsi="Times New Roman"/>
          <w:b w:val="false"/>
          <w:i/>
          <w:color w:val="000000"/>
          <w:sz w:val="22"/>
        </w:rPr>
        <w:t xml:space="preserve">Applicability to certain newly eligible individuals. </w:t>
      </w:r>
      <w:r>
        <w:rPr>
          <w:rFonts w:ascii="Times New Roman" w:hAnsi="Times New Roman"/>
          <w:b w:val="false"/>
          <w:i w:val="false"/>
          <w:color w:val="000000"/>
          <w:sz w:val="22"/>
        </w:rPr>
        <w:t>This rule applies only to individuals who are newly eligible for Medicare on or after January 1, 2020, by reason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Attaining age 65 on or after January 1, 2020;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Entitlement to benefits under Medicare Part A pursuant to </w:t>
      </w:r>
      <w:r>
        <w:rPr>
          <w:rFonts w:ascii="Times New Roman" w:hAnsi="Times New Roman"/>
          <w:b w:val="false"/>
          <w:i w:val="false"/>
          <w:color w:val="000000"/>
          <w:sz w:val="22"/>
        </w:rPr>
        <w:t>Section 226(b) or 226A of the Social Security Act, or who are deemed to be eligible for benefits under Section 226(a) of the Social Security Act</w:t>
      </w:r>
      <w:r>
        <w:rPr>
          <w:rFonts w:ascii="Times New Roman" w:hAnsi="Times New Roman"/>
          <w:b w:val="false"/>
          <w:i w:val="false"/>
          <w:color w:val="000000"/>
          <w:sz w:val="22"/>
        </w:rPr>
        <w:t xml:space="preserve"> on or after January 1, 2020.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37.9(3)</w:t>
      </w:r>
      <w:r>
        <w:rPr>
          <w:rFonts w:ascii="Times New Roman" w:hAnsi="Times New Roman"/>
          <w:b w:val="false"/>
          <w:i w:val="false"/>
          <w:color w:val="000000"/>
          <w:sz w:val="22"/>
        </w:rPr>
        <w:t> </w:t>
      </w:r>
      <w:r>
        <w:rPr>
          <w:rFonts w:ascii="Times New Roman" w:hAnsi="Times New Roman"/>
          <w:b w:val="false"/>
          <w:i/>
          <w:color w:val="000000"/>
          <w:sz w:val="22"/>
        </w:rPr>
        <w:t xml:space="preserve">Guaranteed issue for eligible persons. </w:t>
      </w:r>
      <w:r>
        <w:rPr>
          <w:rFonts w:ascii="Times New Roman" w:hAnsi="Times New Roman"/>
          <w:b w:val="false"/>
          <w:i w:val="false"/>
          <w:color w:val="000000"/>
          <w:sz w:val="22"/>
        </w:rPr>
        <w:t xml:space="preserve">For purposes of rule </w:t>
      </w:r>
      <w:hyperlink r:id="rId151">
        <w:r>
          <w:rPr>
            <w:rStyle w:val="Hyperlink"/>
            <w:rFonts w:ascii="Times New Roman" w:hAnsi="Times New Roman"/>
            <w:b w:val="false"/>
            <w:i w:val="false"/>
            <w:color w:val="000000"/>
            <w:sz w:val="22"/>
          </w:rPr>
          <w:t>191—37.36</w:t>
        </w:r>
      </w:hyperlink>
      <w:r>
        <w:rPr>
          <w:rFonts w:ascii="Times New Roman" w:hAnsi="Times New Roman"/>
          <w:b w:val="false"/>
          <w:i w:val="false"/>
          <w:color w:val="000000"/>
          <w:sz w:val="22"/>
        </w:rPr>
        <w:t>(514D), in the case of any individual newly eligible for Medicare on or after January 1, 2020, any reference to a Medicare supplement Plan C or F (including Plan F with high deductible) shall be deemed to be a reference to Medicare supplement Plan D or G (including Plan G with high deductible), respectively,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37.9(4)</w:t>
      </w:r>
      <w:r>
        <w:rPr>
          <w:rFonts w:ascii="Times New Roman" w:hAnsi="Times New Roman"/>
          <w:b w:val="false"/>
          <w:i w:val="false"/>
          <w:color w:val="000000"/>
          <w:sz w:val="22"/>
        </w:rPr>
        <w:t> </w:t>
      </w:r>
      <w:r>
        <w:rPr>
          <w:rFonts w:ascii="Times New Roman" w:hAnsi="Times New Roman"/>
          <w:b w:val="false"/>
          <w:i/>
          <w:color w:val="000000"/>
          <w:sz w:val="22"/>
        </w:rPr>
        <w:t xml:space="preserve">Offer of redesignated plans to individuals other than newly eligible. </w:t>
      </w:r>
      <w:r>
        <w:rPr>
          <w:rFonts w:ascii="Times New Roman" w:hAnsi="Times New Roman"/>
          <w:b w:val="false"/>
          <w:i w:val="false"/>
          <w:color w:val="000000"/>
          <w:sz w:val="22"/>
        </w:rPr>
        <w:t xml:space="preserve">On or after January 1, 2020, the standardized benefit plans described in </w:t>
      </w:r>
      <w:hyperlink r:id="rId152">
        <w:r>
          <w:rPr>
            <w:rStyle w:val="Hyperlink"/>
            <w:rFonts w:ascii="Times New Roman" w:hAnsi="Times New Roman"/>
            <w:b w:val="false"/>
            <w:i w:val="false"/>
            <w:color w:val="000000"/>
            <w:sz w:val="22"/>
          </w:rPr>
          <w:t>paragraph 37.9(1)</w:t>
        </w:r>
      </w:hyperlink>
      <w:r>
        <w:rPr>
          <w:rFonts w:ascii="Times New Roman" w:hAnsi="Times New Roman"/>
          <w:b w:val="false"/>
          <w:i/>
          <w:color w:val="000000"/>
          <w:sz w:val="22"/>
        </w:rPr>
        <w:t>“d”</w:t>
      </w:r>
      <w:r>
        <w:rPr>
          <w:rFonts w:ascii="Times New Roman" w:hAnsi="Times New Roman"/>
          <w:b w:val="false"/>
          <w:i w:val="false"/>
          <w:color w:val="000000"/>
          <w:sz w:val="22"/>
        </w:rPr>
        <w:t xml:space="preserve"> may be offered to any individual who was eligible for Medicare prior to January 1, 2020, in addition to the standardized plans described in </w:t>
      </w:r>
      <w:hyperlink r:id="rId153">
        <w:r>
          <w:rPr>
            <w:rStyle w:val="Hyperlink"/>
            <w:rFonts w:ascii="Times New Roman" w:hAnsi="Times New Roman"/>
            <w:b w:val="false"/>
            <w:i w:val="false"/>
            <w:color w:val="000000"/>
            <w:sz w:val="22"/>
          </w:rPr>
          <w:t>subrule 37.8(4)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191—37.10</w:t>
      </w:r>
      <w:r>
        <w:rPr>
          <w:rFonts w:ascii="Times New Roman" w:hAnsi="Times New Roman"/>
          <w:b w:val="false"/>
          <w:i w:val="false"/>
          <w:color w:val="000000"/>
          <w:sz w:val="22"/>
        </w:rPr>
        <w:t xml:space="preserve"> to </w:t>
      </w:r>
      <w:r>
        <w:rPr>
          <w:rFonts w:ascii="Times New Roman" w:hAnsi="Times New Roman"/>
          <w:b/>
          <w:i w:val="false"/>
          <w:color w:val="000000"/>
          <w:sz w:val="22"/>
        </w:rPr>
        <w:t>37.19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191—37.20</w:t>
      </w:r>
      <w:r>
        <w:rPr>
          <w:rFonts w:ascii="Times New Roman" w:hAnsi="Times New Roman"/>
          <w:b/>
          <w:i w:val="false"/>
          <w:color w:val="000000"/>
          <w:sz w:val="22"/>
        </w:rPr>
        <w:t xml:space="preserve">(514D) </w:t>
      </w:r>
      <w:r>
        <w:rPr>
          <w:rFonts w:ascii="Times New Roman" w:hAnsi="Times New Roman"/>
          <w:b/>
          <w:i w:val="false"/>
          <w:color w:val="000000"/>
          <w:sz w:val="22"/>
        </w:rPr>
        <w:t xml:space="preserve">Medicare Select policies and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37.20(1)</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Rule </w:t>
      </w:r>
      <w:hyperlink r:id="rId154">
        <w:r>
          <w:rPr>
            <w:rStyle w:val="Hyperlink"/>
            <w:rFonts w:ascii="Times New Roman" w:hAnsi="Times New Roman"/>
            <w:b w:val="false"/>
            <w:i w:val="false"/>
            <w:color w:val="000000"/>
            <w:sz w:val="22"/>
          </w:rPr>
          <w:t>191—37.20</w:t>
        </w:r>
      </w:hyperlink>
      <w:r>
        <w:rPr>
          <w:rFonts w:ascii="Times New Roman" w:hAnsi="Times New Roman"/>
          <w:b w:val="false"/>
          <w:i w:val="false"/>
          <w:color w:val="000000"/>
          <w:sz w:val="22"/>
        </w:rPr>
        <w:t>(514D) shall apply to Medicare Select policies and certificates,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policy or certificate may be advertised as a Medicare Select policy or certificate unless it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in addition to the definitions of Iowa Code section </w:t>
      </w:r>
      <w:hyperlink r:id="rId155">
        <w:r>
          <w:rPr>
            <w:rStyle w:val="Hyperlink"/>
            <w:rFonts w:ascii="Times New Roman" w:hAnsi="Times New Roman"/>
            <w:b w:val="false"/>
            <w:i w:val="false"/>
            <w:color w:val="000000"/>
            <w:sz w:val="22"/>
          </w:rPr>
          <w:t>514D.2</w:t>
        </w:r>
      </w:hyperlink>
      <w:r>
        <w:rPr>
          <w:rFonts w:ascii="Times New Roman" w:hAnsi="Times New Roman"/>
          <w:b w:val="false"/>
          <w:i w:val="false"/>
          <w:color w:val="000000"/>
          <w:sz w:val="22"/>
        </w:rPr>
        <w:t xml:space="preserve">, and of rules </w:t>
      </w:r>
      <w:hyperlink r:id="rId156">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 xml:space="preserve">(514D) and </w:t>
      </w:r>
      <w:hyperlink r:id="rId157">
        <w:r>
          <w:rPr>
            <w:rStyle w:val="Hyperlink"/>
            <w:rFonts w:ascii="Times New Roman" w:hAnsi="Times New Roman"/>
            <w:b w:val="false"/>
            <w:i w:val="false"/>
            <w:color w:val="000000"/>
            <w:sz w:val="22"/>
          </w:rPr>
          <w:t>191—37.4</w:t>
        </w:r>
      </w:hyperlink>
      <w:r>
        <w:rPr>
          <w:rFonts w:ascii="Times New Roman" w:hAnsi="Times New Roman"/>
          <w:b w:val="false"/>
          <w:i w:val="false"/>
          <w:color w:val="000000"/>
          <w:sz w:val="22"/>
        </w:rPr>
        <w:t>(514D),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means any dissatisfaction expressed by a covered individual concerning a Medicare Select issuer or a Medicare Select network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“Grievance” </w:t>
      </w:r>
      <w:r>
        <w:rPr>
          <w:rFonts w:ascii="Times New Roman" w:hAnsi="Times New Roman"/>
          <w:b w:val="false"/>
          <w:i w:val="false"/>
          <w:color w:val="000000"/>
          <w:sz w:val="22"/>
        </w:rPr>
        <w:t>means dissatisfaction expressed in writing by a covered individual under a Medicare Select policy or certificate with the administration, claims practices, or provision of services concerning a Medicare Select issuer or its Medicare Select network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Select issuer” </w:t>
      </w:r>
      <w:r>
        <w:rPr>
          <w:rFonts w:ascii="Times New Roman" w:hAnsi="Times New Roman"/>
          <w:b w:val="false"/>
          <w:i w:val="false"/>
          <w:color w:val="000000"/>
          <w:sz w:val="22"/>
        </w:rPr>
        <w:t>means an issuer offering, or seeking to offer, a Medicare Select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Select network provider” </w:t>
      </w:r>
      <w:r>
        <w:rPr>
          <w:rFonts w:ascii="Times New Roman" w:hAnsi="Times New Roman"/>
          <w:b w:val="false"/>
          <w:i w:val="false"/>
          <w:color w:val="000000"/>
          <w:sz w:val="22"/>
        </w:rPr>
        <w:t>means a provider of health care, or a group of providers of health care, which has entered into a written agreement with a Medicare Select issuer to provide benefits insured under a Medicare Select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Select policy” </w:t>
      </w:r>
      <w:r>
        <w:rPr>
          <w:rFonts w:ascii="Times New Roman" w:hAnsi="Times New Roman"/>
          <w:b w:val="false"/>
          <w:i w:val="false"/>
          <w:color w:val="000000"/>
          <w:sz w:val="22"/>
        </w:rPr>
        <w:t xml:space="preserve">means a Medicare supplement individual policy that contains a restricted network provision; </w:t>
      </w:r>
      <w:r>
        <w:rPr>
          <w:rFonts w:ascii="Times New Roman" w:hAnsi="Times New Roman"/>
          <w:b w:val="false"/>
          <w:i/>
          <w:color w:val="000000"/>
          <w:sz w:val="22"/>
        </w:rPr>
        <w:t>“Medicare Select certificate”</w:t>
      </w:r>
      <w:r>
        <w:rPr>
          <w:rFonts w:ascii="Times New Roman" w:hAnsi="Times New Roman"/>
          <w:b w:val="false"/>
          <w:i w:val="false"/>
          <w:color w:val="000000"/>
          <w:sz w:val="22"/>
        </w:rPr>
        <w:t xml:space="preserve"> means an individual’s certificate of coverage under a group Medicare supplement policy that contains restricted network provisions; and </w:t>
      </w:r>
      <w:r>
        <w:rPr>
          <w:rFonts w:ascii="Times New Roman" w:hAnsi="Times New Roman"/>
          <w:b w:val="false"/>
          <w:i/>
          <w:color w:val="000000"/>
          <w:sz w:val="22"/>
        </w:rPr>
        <w:t>“Medicare Select policy or certificate”</w:t>
      </w:r>
      <w:r>
        <w:rPr>
          <w:rFonts w:ascii="Times New Roman" w:hAnsi="Times New Roman"/>
          <w:b w:val="false"/>
          <w:i w:val="false"/>
          <w:color w:val="000000"/>
          <w:sz w:val="22"/>
        </w:rPr>
        <w:t xml:space="preserve"> means either a Medicare Select policy or a Medicare Select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“Restricted network provision” </w:t>
      </w:r>
      <w:r>
        <w:rPr>
          <w:rFonts w:ascii="Times New Roman" w:hAnsi="Times New Roman"/>
          <w:b w:val="false"/>
          <w:i w:val="false"/>
          <w:color w:val="000000"/>
          <w:sz w:val="22"/>
        </w:rPr>
        <w:t>means any provision in a Medicare Select policy or certificate which conditions the payment of benefits, in whole or in part, on the use of Medicare Select network providers belonging to a network specified by the Medicare Select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means the geographic area, approved by the commissioner as part of the Medicare Select issuer’s plan of operation, within which the Medicare Select issuer is authorized to offer a Medicare Select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37.20(3)</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offer Medicare Select policies or certificates. </w:t>
      </w:r>
      <w:r>
        <w:rPr>
          <w:rFonts w:ascii="Times New Roman" w:hAnsi="Times New Roman"/>
          <w:b w:val="false"/>
          <w:i w:val="false"/>
          <w:color w:val="000000"/>
          <w:sz w:val="22"/>
        </w:rPr>
        <w:t xml:space="preserve">The commissioner may authorize an issuer to offer a Medicare Select policy or certificate, pursuant to this rule and </w:t>
      </w:r>
      <w:r>
        <w:rPr>
          <w:rFonts w:ascii="Times New Roman" w:hAnsi="Times New Roman"/>
          <w:b w:val="false"/>
          <w:i w:val="false"/>
          <w:color w:val="000000"/>
          <w:sz w:val="22"/>
        </w:rPr>
        <w:t>Section 4358 of the Omnibus Budget Reconciliation Act</w:t>
      </w:r>
      <w:r>
        <w:rPr>
          <w:rFonts w:ascii="Times New Roman" w:hAnsi="Times New Roman"/>
          <w:b w:val="false"/>
          <w:i w:val="false"/>
          <w:color w:val="000000"/>
          <w:sz w:val="22"/>
        </w:rPr>
        <w:t xml:space="preserve"> (OBRA) of 1990, if the commissioner finds, upon review and approval of the plan of operation filed in accordance with </w:t>
      </w:r>
      <w:hyperlink r:id="rId158">
        <w:r>
          <w:rPr>
            <w:rStyle w:val="Hyperlink"/>
            <w:rFonts w:ascii="Times New Roman" w:hAnsi="Times New Roman"/>
            <w:b w:val="false"/>
            <w:i w:val="false"/>
            <w:color w:val="000000"/>
            <w:sz w:val="22"/>
          </w:rPr>
          <w:t>subrule 37.20(5)</w:t>
        </w:r>
      </w:hyperlink>
      <w:r>
        <w:rPr>
          <w:rFonts w:ascii="Times New Roman" w:hAnsi="Times New Roman"/>
          <w:b w:val="false"/>
          <w:i w:val="false"/>
          <w:color w:val="000000"/>
          <w:sz w:val="22"/>
        </w:rPr>
        <w:t>, that the issuer has satisfied all of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37.20(4)</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offering Medicare Select policies or certificates without approved plan of operation. </w:t>
      </w:r>
      <w:r>
        <w:rPr>
          <w:rFonts w:ascii="Times New Roman" w:hAnsi="Times New Roman"/>
          <w:b w:val="false"/>
          <w:i w:val="false"/>
          <w:color w:val="000000"/>
          <w:sz w:val="22"/>
        </w:rPr>
        <w:t xml:space="preserve">A Medicare Select issuer shall not issue a Medicare Select policy or certificate in this state until its plan of operation has been approved by the commissioner, and the commissioner has authorized the issuer to offer Medicare Select policies or certificates, pursuant to </w:t>
      </w:r>
      <w:hyperlink r:id="rId159">
        <w:r>
          <w:rPr>
            <w:rStyle w:val="Hyperlink"/>
            <w:rFonts w:ascii="Times New Roman" w:hAnsi="Times New Roman"/>
            <w:b w:val="false"/>
            <w:i w:val="false"/>
            <w:color w:val="000000"/>
            <w:sz w:val="22"/>
          </w:rPr>
          <w:t>subrule 37.20(3)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37.20(5)</w:t>
      </w:r>
      <w:r>
        <w:rPr>
          <w:rFonts w:ascii="Times New Roman" w:hAnsi="Times New Roman"/>
          <w:b w:val="false"/>
          <w:i w:val="false"/>
          <w:color w:val="000000"/>
          <w:sz w:val="22"/>
        </w:rPr>
        <w:t> </w:t>
      </w:r>
      <w:r>
        <w:rPr>
          <w:rFonts w:ascii="Times New Roman" w:hAnsi="Times New Roman"/>
          <w:b w:val="false"/>
          <w:i/>
          <w:color w:val="000000"/>
          <w:sz w:val="22"/>
        </w:rPr>
        <w:t xml:space="preserve">Medicare Select issuer shall file a proposed plan of operation. </w:t>
      </w:r>
      <w:r>
        <w:rPr>
          <w:rFonts w:ascii="Times New Roman" w:hAnsi="Times New Roman"/>
          <w:b w:val="false"/>
          <w:i w:val="false"/>
          <w:color w:val="000000"/>
          <w:sz w:val="22"/>
        </w:rPr>
        <w:t xml:space="preserve">An issuer shall file a proposed plan of operation with the commissioner in a format prescribed by the commissioner and receive approval of the proposed plan from the commissioner prior to offering Medicare Select policies or certificates. The plan of operation shall contain at a minimum all of the information required by paragraphs </w:t>
      </w:r>
      <w:hyperlink r:id="rId160">
        <w:r>
          <w:rPr>
            <w:rStyle w:val="Hyperlink"/>
            <w:rFonts w:ascii="Times New Roman" w:hAnsi="Times New Roman"/>
            <w:b w:val="false"/>
            <w:i w:val="false"/>
            <w:color w:val="000000"/>
            <w:sz w:val="22"/>
          </w:rPr>
          <w:t>37.20(5)</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all services covered under the Medicare Select policies or certificates that are subject to restricted network provisions are available and accessible through Medicare Select network providers, including a demonstration that the issuer has met all of the conditions in subparagraphs </w:t>
      </w:r>
      <w:hyperlink r:id="rId161">
        <w:r>
          <w:rPr>
            <w:rStyle w:val="Hyperlink"/>
            <w:rFonts w:ascii="Times New Roman" w:hAnsi="Times New Roman"/>
            <w:b w:val="false"/>
            <w:i w:val="false"/>
            <w:color w:val="000000"/>
            <w:sz w:val="22"/>
          </w:rPr>
          <w:t>37.20(5)</w:t>
        </w:r>
      </w:hyperlink>
      <w:r>
        <w:rPr>
          <w:rFonts w:ascii="Times New Roman" w:hAnsi="Times New Roman"/>
          <w:b w:val="false"/>
          <w:i/>
          <w:color w:val="000000"/>
          <w:sz w:val="22"/>
        </w:rPr>
        <w:t>“a”</w:t>
      </w:r>
      <w:r>
        <w:rPr>
          <w:rFonts w:ascii="Times New Roman" w:hAnsi="Times New Roman"/>
          <w:b w:val="false"/>
          <w:i w:val="false"/>
          <w:color w:val="000000"/>
          <w:sz w:val="22"/>
        </w:rPr>
        <w:t>(1) through (5)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services can be provided by Medicare Select network providers with reasonable promptness with respect to geographic location, hours of operation and after-hours care. The hours of operation and availability of after-hours care shall reflect usual practice in the local area. Geographic availability shall reflect the usual travel times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number of Medicare Select network providers in the service area is sufficient, with respect to current and expected covered individuals,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adequately deliver all services that are subject to a restricted network provision;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make appropriate referrals.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There are written agreements with Medicare Select network providers describing specific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Emergency care is available 24 hours per day and seven days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covered services that are subject to a restricted network provision and are provided on a prepaid basis, there are written agreements with Medicare Select network providers prohibiting such Medicare Select network providers from billing or otherwise seeking reimbursement from or recourse against any covered individual under a Medicare Select policy or certificate. This paragraph shall not apply to supplemental charges or coinsurance amounts as stated in the Medicare Select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statement or map providing a clear description of the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description of the grievance procedure to be utilized, that is compliant with </w:t>
      </w:r>
      <w:hyperlink r:id="rId162">
        <w:r>
          <w:rPr>
            <w:rStyle w:val="Hyperlink"/>
            <w:rFonts w:ascii="Times New Roman" w:hAnsi="Times New Roman"/>
            <w:b w:val="false"/>
            <w:i w:val="false"/>
            <w:color w:val="000000"/>
            <w:sz w:val="22"/>
          </w:rPr>
          <w:t>subrule 37.20(11)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quality assurance program,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formal organizational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written criteria for selection, retention and removal of Medicare Select network providers;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procedures for evaluating quality of care provided by Medicare Select network providers, and the process to initiate corrective action when warranted.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and description, by specialty, of the Medicare Select network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the written information proposed to be used by the Medicare Select issuer to comply with </w:t>
      </w:r>
      <w:hyperlink r:id="rId163">
        <w:r>
          <w:rPr>
            <w:rStyle w:val="Hyperlink"/>
            <w:rFonts w:ascii="Times New Roman" w:hAnsi="Times New Roman"/>
            <w:b w:val="false"/>
            <w:i w:val="false"/>
            <w:color w:val="000000"/>
            <w:sz w:val="22"/>
          </w:rPr>
          <w:t>subrule 37.20(9)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other information requested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37.20(6)</w:t>
      </w:r>
      <w:r>
        <w:rPr>
          <w:rFonts w:ascii="Times New Roman" w:hAnsi="Times New Roman"/>
          <w:b w:val="false"/>
          <w:i w:val="false"/>
          <w:color w:val="000000"/>
          <w:sz w:val="22"/>
        </w:rPr>
        <w:t> </w:t>
      </w:r>
      <w:r>
        <w:rPr>
          <w:rFonts w:ascii="Times New Roman" w:hAnsi="Times New Roman"/>
          <w:b w:val="false"/>
          <w:i/>
          <w:color w:val="000000"/>
          <w:sz w:val="22"/>
        </w:rPr>
        <w:t xml:space="preserve">Filing of changes and updates to Medicare Select issuer’s plan of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Medicare Select issuer shall file any proposed changes to the plan of operation, except for changes to the list of Medicare Select network providers, with the commissioner prior to implementing such changes. Such changes shall be considered approved by the commissioner after 30 days unless specifically disapproved.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updated list of Medicare Select network providers shall be filed with the commissioner at least quarterly.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37.20(7)</w:t>
      </w:r>
      <w:r>
        <w:rPr>
          <w:rFonts w:ascii="Times New Roman" w:hAnsi="Times New Roman"/>
          <w:b w:val="false"/>
          <w:i w:val="false"/>
          <w:color w:val="000000"/>
          <w:sz w:val="22"/>
        </w:rPr>
        <w:t> </w:t>
      </w:r>
      <w:r>
        <w:rPr>
          <w:rFonts w:ascii="Times New Roman" w:hAnsi="Times New Roman"/>
          <w:b w:val="false"/>
          <w:i/>
          <w:color w:val="000000"/>
          <w:sz w:val="22"/>
        </w:rPr>
        <w:t xml:space="preserve">Use of restricted network provision prohibited under certain circumstances. </w:t>
      </w:r>
      <w:r>
        <w:rPr>
          <w:rFonts w:ascii="Times New Roman" w:hAnsi="Times New Roman"/>
          <w:b w:val="false"/>
          <w:i w:val="false"/>
          <w:color w:val="000000"/>
          <w:sz w:val="22"/>
        </w:rPr>
        <w:t>A Medicare Select policy or certificate issuer shall not apply a restricted network provision to limit a payment amount for covered services provided by providers that are not restricted network providers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services are for symptoms requiring emergency care or are immediately required for an unforeseen illness, injury or a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is not reasonable to obtain such services through a Medicare Select network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37.20(8)</w:t>
      </w:r>
      <w:r>
        <w:rPr>
          <w:rFonts w:ascii="Times New Roman" w:hAnsi="Times New Roman"/>
          <w:b w:val="false"/>
          <w:i w:val="false"/>
          <w:color w:val="000000"/>
          <w:sz w:val="22"/>
        </w:rPr>
        <w:t> </w:t>
      </w:r>
      <w:r>
        <w:rPr>
          <w:rFonts w:ascii="Times New Roman" w:hAnsi="Times New Roman"/>
          <w:b w:val="false"/>
          <w:i/>
          <w:color w:val="000000"/>
          <w:sz w:val="22"/>
        </w:rPr>
        <w:t xml:space="preserve">Full coverage for services required under certain circumstances. </w:t>
      </w:r>
      <w:r>
        <w:rPr>
          <w:rFonts w:ascii="Times New Roman" w:hAnsi="Times New Roman"/>
          <w:b w:val="false"/>
          <w:i w:val="false"/>
          <w:color w:val="000000"/>
          <w:sz w:val="22"/>
        </w:rPr>
        <w:t>A Medicare Select policy or certificate shall provide payment for full coverage under the Medicare Select policy for covered services that are not available through Medicare Select network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37.20(9)</w:t>
      </w:r>
      <w:r>
        <w:rPr>
          <w:rFonts w:ascii="Times New Roman" w:hAnsi="Times New Roman"/>
          <w:b w:val="false"/>
          <w:i w:val="false"/>
          <w:color w:val="000000"/>
          <w:sz w:val="22"/>
        </w:rPr>
        <w:t> </w:t>
      </w:r>
      <w:r>
        <w:rPr>
          <w:rFonts w:ascii="Times New Roman" w:hAnsi="Times New Roman"/>
          <w:b w:val="false"/>
          <w:i/>
          <w:color w:val="000000"/>
          <w:sz w:val="22"/>
        </w:rPr>
        <w:t xml:space="preserve">Content of required disclosure. </w:t>
      </w:r>
      <w:r>
        <w:rPr>
          <w:rFonts w:ascii="Times New Roman" w:hAnsi="Times New Roman"/>
          <w:b w:val="false"/>
          <w:i w:val="false"/>
          <w:color w:val="000000"/>
          <w:sz w:val="22"/>
        </w:rPr>
        <w:t xml:space="preserve">A Medicare Select issuer shall make full and fair disclosure in writing of the provisions, restrictions, and limitations of the Medicare Select policy or certificate to each applicant. This disclosure shall include at a minimum all of the information described in paragraphs </w:t>
      </w:r>
      <w:hyperlink r:id="rId164">
        <w:r>
          <w:rPr>
            <w:rStyle w:val="Hyperlink"/>
            <w:rFonts w:ascii="Times New Roman" w:hAnsi="Times New Roman"/>
            <w:b w:val="false"/>
            <w:i w:val="false"/>
            <w:color w:val="000000"/>
            <w:sz w:val="22"/>
          </w:rPr>
          <w:t>37.20(9)</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outline of coverage sufficient to permit the applicant to compare the coverage and premiums of the Medicare Select policy or certificate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Other Medicare supplement policies or certificates offered by the Medicare Select issuer;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Medicare Select policies or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(including address, telephone number and hours of operation) of the Medicare Select network providers, including primary care physicians, specialty physicians, hospitals and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restricted network provisions, including payments for coinsurance and deductibles when providers other than Medicare Select network providers are utilized. Except to the extent specified in the Medicare Select policy or certificate, expenses incurred when using out-of-network providers do not count toward the out-of-pocket annual limit contained in Medicare Select Plans K and 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coverage for emergency and urgently needed care and other out-of-service area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limitations on referrals to Medicare Select network providers and to other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description of the covered individual’s rights to purchase any other Medicare supplement policy or certificate otherwise offered by the Medicare Select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description of the Medicare Select issuer’s quality assurance program and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37.20(10)</w:t>
      </w:r>
      <w:r>
        <w:rPr>
          <w:rFonts w:ascii="Times New Roman" w:hAnsi="Times New Roman"/>
          <w:b w:val="false"/>
          <w:i w:val="false"/>
          <w:color w:val="000000"/>
          <w:sz w:val="22"/>
        </w:rPr>
        <w:t> </w:t>
      </w:r>
      <w:r>
        <w:rPr>
          <w:rFonts w:ascii="Times New Roman" w:hAnsi="Times New Roman"/>
          <w:b w:val="false"/>
          <w:i/>
          <w:color w:val="000000"/>
          <w:sz w:val="22"/>
        </w:rPr>
        <w:t xml:space="preserve">Acknowledgment. </w:t>
      </w:r>
      <w:r>
        <w:rPr>
          <w:rFonts w:ascii="Times New Roman" w:hAnsi="Times New Roman"/>
          <w:b w:val="false"/>
          <w:i w:val="false"/>
          <w:color w:val="000000"/>
          <w:sz w:val="22"/>
        </w:rPr>
        <w:t xml:space="preserve">Prior to the sale of a Medicare Select policy or certificate, a Medicare Select issuer shall obtain from the applicant a signed and dated form stating that the applicant has received the information provided pursuant to </w:t>
      </w:r>
      <w:hyperlink r:id="rId165">
        <w:r>
          <w:rPr>
            <w:rStyle w:val="Hyperlink"/>
            <w:rFonts w:ascii="Times New Roman" w:hAnsi="Times New Roman"/>
            <w:b w:val="false"/>
            <w:i w:val="false"/>
            <w:color w:val="000000"/>
            <w:sz w:val="22"/>
          </w:rPr>
          <w:t>subrule 37.20(9)</w:t>
        </w:r>
      </w:hyperlink>
      <w:r>
        <w:rPr>
          <w:rFonts w:ascii="Times New Roman" w:hAnsi="Times New Roman"/>
          <w:b w:val="false"/>
          <w:i w:val="false"/>
          <w:color w:val="000000"/>
          <w:sz w:val="22"/>
        </w:rPr>
        <w:t xml:space="preserve"> and that the applicant understands the restrictions of the Medicare Select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37.20(11)</w:t>
      </w:r>
      <w:r>
        <w:rPr>
          <w:rFonts w:ascii="Times New Roman" w:hAnsi="Times New Roman"/>
          <w:b w:val="false"/>
          <w:i w:val="false"/>
          <w:color w:val="000000"/>
          <w:sz w:val="22"/>
        </w:rPr>
        <w:t> </w:t>
      </w:r>
      <w:r>
        <w:rPr>
          <w:rFonts w:ascii="Times New Roman" w:hAnsi="Times New Roman"/>
          <w:b w:val="false"/>
          <w:i/>
          <w:color w:val="000000"/>
          <w:sz w:val="22"/>
        </w:rPr>
        <w:t xml:space="preserve">Complaint and grievance procedures. </w:t>
      </w:r>
      <w:r>
        <w:rPr>
          <w:rFonts w:ascii="Times New Roman" w:hAnsi="Times New Roman"/>
          <w:b w:val="false"/>
          <w:i w:val="false"/>
          <w:color w:val="000000"/>
          <w:sz w:val="22"/>
        </w:rPr>
        <w:t>A Medicare Select issuer shall have and use procedures for hearing complaints and resolving written grievances from the covered individuals. Such procedures shall be aimed at mutual agreement for settlement and may include arbitration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grievance procedure shall be described in the Medicare Select policy or certificate and in the outline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the time the Medicare Select policy or certificate is issued, the Medicare Select issuer shall provide detailed information to the covered individual describing how a grievance may be registered with the Medicare Select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Medicare Select issuer shall consider grievances in a timely manner and shall transmit them to appropriate decision makers who have authority to fully investigate the issue and take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grievance is found to be valid, corrective action shall be taken promptly.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concerned parties shall be notified by the Medicare Select issuer about the results of a grievance.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Medicare Select issuer shall report no later than each March 31 to the commissioner regarding its grievance procedure. The report shall be in a format prescribed by the commissioner and shall contain the number of grievances filed in the prior calendar year and a summary of the subject, nature and resolution of such grievances.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37.20(12)</w:t>
      </w:r>
      <w:r>
        <w:rPr>
          <w:rFonts w:ascii="Times New Roman" w:hAnsi="Times New Roman"/>
          <w:b w:val="false"/>
          <w:i w:val="false"/>
          <w:color w:val="000000"/>
          <w:sz w:val="22"/>
        </w:rPr>
        <w:t> </w:t>
      </w:r>
      <w:r>
        <w:rPr>
          <w:rFonts w:ascii="Times New Roman" w:hAnsi="Times New Roman"/>
          <w:b w:val="false"/>
          <w:i/>
          <w:color w:val="000000"/>
          <w:sz w:val="22"/>
        </w:rPr>
        <w:t xml:space="preserve">Opportunity to purchase another policy at time of purchase. </w:t>
      </w:r>
      <w:r>
        <w:rPr>
          <w:rFonts w:ascii="Times New Roman" w:hAnsi="Times New Roman"/>
          <w:b w:val="false"/>
          <w:i w:val="false"/>
          <w:color w:val="000000"/>
          <w:sz w:val="22"/>
        </w:rPr>
        <w:t>At the time of initial purchase, a Medicare Select issuer shall make available to each applicant for a Medicare Select policy or certificate the opportunity to purchase any Medicare supplement policy or certificate otherwise offered by the Medicare Select issuer.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37.20(13)</w:t>
      </w:r>
      <w:r>
        <w:rPr>
          <w:rFonts w:ascii="Times New Roman" w:hAnsi="Times New Roman"/>
          <w:b w:val="false"/>
          <w:i w:val="false"/>
          <w:color w:val="000000"/>
          <w:sz w:val="22"/>
        </w:rPr>
        <w:t> </w:t>
      </w:r>
      <w:r>
        <w:rPr>
          <w:rFonts w:ascii="Times New Roman" w:hAnsi="Times New Roman"/>
          <w:b w:val="false"/>
          <w:i/>
          <w:color w:val="000000"/>
          <w:sz w:val="22"/>
        </w:rPr>
        <w:t xml:space="preserve">Opportunity to purchase another policy after issue.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request of a covered individual under a Medicare Select policy or certificate, a Medicare Select issuer shall make available to the covered individual the opportunity to purchase a Medicare supplement policy or certificate offered by the Medicare Select issuer which has comparable or lesser benefits and which does not contain a restricted network provision. The Medicare Select issuer shall make such policies or certificates available without requiring evidence of insurability after the Medicare Select policy or certificate has been in force for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a Medicare supplement policy or certificate will be considered to have comparable or lesser benefits unless it contains one or more significant benefits not included in the Medicare Select policy or certificate being replaced. For the purposes of this paragraph, a significant benefit means coverage for the Medicare Part A deductible, coverage for at-home recovery services or coverage for Medicare Part B excess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37.20(14)</w:t>
      </w:r>
      <w:r>
        <w:rPr>
          <w:rFonts w:ascii="Times New Roman" w:hAnsi="Times New Roman"/>
          <w:b w:val="false"/>
          <w:i w:val="false"/>
          <w:color w:val="000000"/>
          <w:sz w:val="22"/>
        </w:rPr>
        <w:t> </w:t>
      </w:r>
      <w:r>
        <w:rPr>
          <w:rFonts w:ascii="Times New Roman" w:hAnsi="Times New Roman"/>
          <w:b w:val="false"/>
          <w:i/>
          <w:color w:val="000000"/>
          <w:sz w:val="22"/>
        </w:rPr>
        <w:t xml:space="preserve">Continuation of coverage. </w:t>
      </w:r>
      <w:r>
        <w:rPr>
          <w:rFonts w:ascii="Times New Roman" w:hAnsi="Times New Roman"/>
          <w:b w:val="false"/>
          <w:i w:val="false"/>
          <w:color w:val="000000"/>
          <w:sz w:val="22"/>
        </w:rPr>
        <w:t>Medicare Select policies and certificates shall provide for continuation of coverage in the event the Secretary determines that Medicare Select policies and certificates issued pursuant to this rule should be discontinued due to either the failure of the Medicare Select program to be reauthorized under law or the substantial amendment of the Medicare Select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Medicare Select issuer shall make available to each insured individual under a Medicare Select policy or certificate the opportunity to purchase any Medicare supplement policy or certificate offered by the Medicare Select issuer which has comparable or lesser benefits and which does not contain a restricted network provision. The Medicare Select issuer shall make such policies and certificates available without requiring evidence of insurability.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subrule, a Medicare supplement policy or certificate will be considered to have comparable or lesser benefits unless it contains one or more significant benefits not included in the Medicare Select policy or certificate being replaced. For the purposes of this paragraph, a significant benefit means coverage for the Medicare Part A deductible, coverage for at-home recovery services or coverage for Medicare Part B excess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37.20(15)</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data requests. </w:t>
      </w:r>
      <w:r>
        <w:rPr>
          <w:rFonts w:ascii="Times New Roman" w:hAnsi="Times New Roman"/>
          <w:b w:val="false"/>
          <w:i w:val="false"/>
          <w:color w:val="000000"/>
          <w:sz w:val="22"/>
        </w:rPr>
        <w:t>A Medicare Select issuer shall comply with reasonable requests for data made by state or federal agencies, including the U.S. Department of Health and Human Services, for the purpose of evaluating the Medicare Select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191—37.21</w:t>
      </w:r>
      <w:r>
        <w:rPr>
          <w:rFonts w:ascii="Times New Roman" w:hAnsi="Times New Roman"/>
          <w:b/>
          <w:i w:val="false"/>
          <w:color w:val="000000"/>
          <w:sz w:val="22"/>
        </w:rPr>
        <w:t xml:space="preserve">(514D) </w:t>
      </w:r>
      <w:r>
        <w:rPr>
          <w:rFonts w:ascii="Times New Roman" w:hAnsi="Times New Roman"/>
          <w:b/>
          <w:i w:val="false"/>
          <w:color w:val="000000"/>
          <w:sz w:val="22"/>
        </w:rPr>
        <w:t xml:space="preserve">Open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w:t>
      </w:r>
      <w:r>
        <w:rPr>
          <w:rFonts w:ascii="Times New Roman" w:hAnsi="Times New Roman"/>
          <w:b w:val="false"/>
          <w:i w:val="false"/>
          <w:color w:val="000000"/>
          <w:sz w:val="22"/>
        </w:rPr>
        <w:t> </w:t>
      </w:r>
      <w:r>
        <w:rPr>
          <w:rFonts w:ascii="Times New Roman" w:hAnsi="Times New Roman"/>
          <w:b w:val="false"/>
          <w:i/>
          <w:color w:val="000000"/>
          <w:sz w:val="22"/>
        </w:rPr>
        <w:t xml:space="preserve">Denial of policy for health reason prohibited. </w:t>
      </w:r>
      <w:r>
        <w:rPr>
          <w:rFonts w:ascii="Times New Roman" w:hAnsi="Times New Roman"/>
          <w:b w:val="false"/>
          <w:i w:val="false"/>
          <w:color w:val="000000"/>
          <w:sz w:val="22"/>
        </w:rPr>
        <w:t>No issuer shall deny or condition the issuance or effectiveness of any Medicare supplement policy or certificate available for sale in this state, or discriminate in the pricing of such a Medicare supplement policy or certificate, because of the health status, claims experience, receipt of health care, or medical condition of an applicant in the case of an application for a Medicare supplement policy or certificate that is submitted prior to or during the six-month period beginning with the first day of the first month in which an individual is both 65 years of age or older and is enrolled for benefits under Medicare Part B. Each Medicare supplement policy and certificate currently available from an issuer shall be made available to all applicants who qualify under this subrule without regard to 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w:t>
      </w:r>
      <w:r>
        <w:rPr>
          <w:rFonts w:ascii="Times New Roman" w:hAnsi="Times New Roman"/>
          <w:b w:val="false"/>
          <w:i w:val="false"/>
          <w:color w:val="000000"/>
          <w:sz w:val="22"/>
        </w:rPr>
        <w:t> </w:t>
      </w:r>
      <w:r>
        <w:rPr>
          <w:rFonts w:ascii="Times New Roman" w:hAnsi="Times New Roman"/>
          <w:b w:val="false"/>
          <w:i/>
          <w:color w:val="000000"/>
          <w:sz w:val="22"/>
        </w:rPr>
        <w:t xml:space="preserve">When preexisting condition exclusion cannot be applied.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of “continuous period of creditable coverage.” </w:t>
      </w:r>
      <w:r>
        <w:rPr>
          <w:rFonts w:ascii="Times New Roman" w:hAnsi="Times New Roman"/>
          <w:b w:val="false"/>
          <w:i w:val="false"/>
          <w:color w:val="000000"/>
          <w:sz w:val="22"/>
        </w:rPr>
        <w:t>For purposes of this subrule, “continuous period of creditable coverage” means the period during which a covered individual was covered by creditable coverage, if during the period of the coverage the covered individual had no breaks in coverage greater than 63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 preexisting condition exclusion. </w:t>
      </w:r>
      <w:r>
        <w:rPr>
          <w:rFonts w:ascii="Times New Roman" w:hAnsi="Times New Roman"/>
          <w:b w:val="false"/>
          <w:i w:val="false"/>
          <w:color w:val="000000"/>
          <w:sz w:val="22"/>
        </w:rPr>
        <w:t xml:space="preserve">If an applicant under </w:t>
      </w:r>
      <w:hyperlink r:id="rId166">
        <w:r>
          <w:rPr>
            <w:rStyle w:val="Hyperlink"/>
            <w:rFonts w:ascii="Times New Roman" w:hAnsi="Times New Roman"/>
            <w:b w:val="false"/>
            <w:i w:val="false"/>
            <w:color w:val="000000"/>
            <w:sz w:val="22"/>
          </w:rPr>
          <w:t>subrule 37.21(1)</w:t>
        </w:r>
      </w:hyperlink>
      <w:r>
        <w:rPr>
          <w:rFonts w:ascii="Times New Roman" w:hAnsi="Times New Roman"/>
          <w:b w:val="false"/>
          <w:i w:val="false"/>
          <w:color w:val="000000"/>
          <w:sz w:val="22"/>
        </w:rPr>
        <w:t xml:space="preserve"> submits an application during the time period referenced in </w:t>
      </w:r>
      <w:hyperlink r:id="rId167">
        <w:r>
          <w:rPr>
            <w:rStyle w:val="Hyperlink"/>
            <w:rFonts w:ascii="Times New Roman" w:hAnsi="Times New Roman"/>
            <w:b w:val="false"/>
            <w:i w:val="false"/>
            <w:color w:val="000000"/>
            <w:sz w:val="22"/>
          </w:rPr>
          <w:t>subrule 37.21(1)</w:t>
        </w:r>
      </w:hyperlink>
      <w:r>
        <w:rPr>
          <w:rFonts w:ascii="Times New Roman" w:hAnsi="Times New Roman"/>
          <w:b w:val="false"/>
          <w:i w:val="false"/>
          <w:color w:val="000000"/>
          <w:sz w:val="22"/>
        </w:rPr>
        <w:t xml:space="preserve"> and, as of the date of application, has had a continuous period of creditable coverage of at least six months, the issuer shall not exclude benefits based on a preexisting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Reduced time of preexisting condition exclusion. </w:t>
      </w:r>
      <w:r>
        <w:rPr>
          <w:rFonts w:ascii="Times New Roman" w:hAnsi="Times New Roman"/>
          <w:b w:val="false"/>
          <w:i w:val="false"/>
          <w:color w:val="000000"/>
          <w:sz w:val="22"/>
        </w:rPr>
        <w:t xml:space="preserve">If the applicant qualifies under </w:t>
      </w:r>
      <w:hyperlink r:id="rId168">
        <w:r>
          <w:rPr>
            <w:rStyle w:val="Hyperlink"/>
            <w:rFonts w:ascii="Times New Roman" w:hAnsi="Times New Roman"/>
            <w:b w:val="false"/>
            <w:i w:val="false"/>
            <w:color w:val="000000"/>
            <w:sz w:val="22"/>
          </w:rPr>
          <w:t>subrule 37.21(1)</w:t>
        </w:r>
      </w:hyperlink>
      <w:r>
        <w:rPr>
          <w:rFonts w:ascii="Times New Roman" w:hAnsi="Times New Roman"/>
          <w:b w:val="false"/>
          <w:i w:val="false"/>
          <w:color w:val="000000"/>
          <w:sz w:val="22"/>
        </w:rPr>
        <w:t xml:space="preserve"> and submits an application during the time period referenced in </w:t>
      </w:r>
      <w:hyperlink r:id="rId169">
        <w:r>
          <w:rPr>
            <w:rStyle w:val="Hyperlink"/>
            <w:rFonts w:ascii="Times New Roman" w:hAnsi="Times New Roman"/>
            <w:b w:val="false"/>
            <w:i w:val="false"/>
            <w:color w:val="000000"/>
            <w:sz w:val="22"/>
          </w:rPr>
          <w:t>subrule 37.21(1)</w:t>
        </w:r>
      </w:hyperlink>
      <w:r>
        <w:rPr>
          <w:rFonts w:ascii="Times New Roman" w:hAnsi="Times New Roman"/>
          <w:b w:val="false"/>
          <w:i w:val="false"/>
          <w:color w:val="000000"/>
          <w:sz w:val="22"/>
        </w:rPr>
        <w:t xml:space="preserve"> and, as of the date of application, has had a continuous period of creditable coverage that is less than six months, the Medicare Select issuer shall reduce the period of any preexisting condition exclusion by the aggregate of the period of creditable coverage applicable to the applicant as of the enrollment date. The Secretary shall specify the manner of the reduction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37.21(3)</w:t>
      </w:r>
      <w:r>
        <w:rPr>
          <w:rFonts w:ascii="Times New Roman" w:hAnsi="Times New Roman"/>
          <w:b w:val="false"/>
          <w:i w:val="false"/>
          <w:color w:val="000000"/>
          <w:sz w:val="22"/>
        </w:rPr>
        <w:t> </w:t>
      </w:r>
      <w:r>
        <w:rPr>
          <w:rFonts w:ascii="Times New Roman" w:hAnsi="Times New Roman"/>
          <w:b w:val="false"/>
          <w:i/>
          <w:color w:val="000000"/>
          <w:sz w:val="22"/>
        </w:rPr>
        <w:t xml:space="preserve">When benefits can be excluded because of preexisting condition. </w:t>
      </w:r>
      <w:r>
        <w:rPr>
          <w:rFonts w:ascii="Times New Roman" w:hAnsi="Times New Roman"/>
          <w:b w:val="false"/>
          <w:i w:val="false"/>
          <w:color w:val="000000"/>
          <w:sz w:val="22"/>
        </w:rPr>
        <w:t>Sub</w:t>
      </w:r>
      <w:hyperlink r:id="rId170">
        <w:r>
          <w:rPr>
            <w:rStyle w:val="Hyperlink"/>
            <w:rFonts w:ascii="Times New Roman" w:hAnsi="Times New Roman"/>
            <w:b w:val="false"/>
            <w:i w:val="false"/>
            <w:color w:val="000000"/>
            <w:sz w:val="22"/>
          </w:rPr>
          <w:t>rule 37.21(1)</w:t>
        </w:r>
      </w:hyperlink>
      <w:r>
        <w:rPr>
          <w:rFonts w:ascii="Times New Roman" w:hAnsi="Times New Roman"/>
          <w:b w:val="false"/>
          <w:i w:val="false"/>
          <w:color w:val="000000"/>
          <w:sz w:val="22"/>
        </w:rPr>
        <w:t xml:space="preserve"> shall not be construed, except as provided in rule </w:t>
      </w:r>
      <w:hyperlink r:id="rId171">
        <w:r>
          <w:rPr>
            <w:rStyle w:val="Hyperlink"/>
            <w:rFonts w:ascii="Times New Roman" w:hAnsi="Times New Roman"/>
            <w:b w:val="false"/>
            <w:i w:val="false"/>
            <w:color w:val="000000"/>
            <w:sz w:val="22"/>
          </w:rPr>
          <w:t>191—37.33</w:t>
        </w:r>
      </w:hyperlink>
      <w:r>
        <w:rPr>
          <w:rFonts w:ascii="Times New Roman" w:hAnsi="Times New Roman"/>
          <w:b w:val="false"/>
          <w:i w:val="false"/>
          <w:color w:val="000000"/>
          <w:sz w:val="22"/>
        </w:rPr>
        <w:t xml:space="preserve">(514D) or </w:t>
      </w:r>
      <w:hyperlink r:id="rId172">
        <w:r>
          <w:rPr>
            <w:rStyle w:val="Hyperlink"/>
            <w:rFonts w:ascii="Times New Roman" w:hAnsi="Times New Roman"/>
            <w:b w:val="false"/>
            <w:i w:val="false"/>
            <w:color w:val="000000"/>
            <w:sz w:val="22"/>
          </w:rPr>
          <w:t>191—37.36</w:t>
        </w:r>
      </w:hyperlink>
      <w:r>
        <w:rPr>
          <w:rFonts w:ascii="Times New Roman" w:hAnsi="Times New Roman"/>
          <w:b w:val="false"/>
          <w:i w:val="false"/>
          <w:color w:val="000000"/>
          <w:sz w:val="22"/>
        </w:rPr>
        <w:t>(514D), as preventing the exclusion of benefits under a policy, during the first six months, based on a preexisting condition for which the covered individual received treatment or was otherwise diagnosed during the six months before the coverage became effective.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191—37.22</w:t>
      </w:r>
      <w:r>
        <w:rPr>
          <w:rFonts w:ascii="Times New Roman" w:hAnsi="Times New Roman"/>
          <w:b/>
          <w:i w:val="false"/>
          <w:color w:val="000000"/>
          <w:sz w:val="22"/>
        </w:rPr>
        <w:t xml:space="preserve">(514D) </w:t>
      </w:r>
      <w:r>
        <w:rPr>
          <w:rFonts w:ascii="Times New Roman" w:hAnsi="Times New Roman"/>
          <w:b/>
          <w:i w:val="false"/>
          <w:color w:val="000000"/>
          <w:sz w:val="22"/>
        </w:rPr>
        <w:t xml:space="preserve">Standards for claims payment.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37.22(1)</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OBRA. </w:t>
      </w:r>
      <w:r>
        <w:rPr>
          <w:rFonts w:ascii="Times New Roman" w:hAnsi="Times New Roman"/>
          <w:b w:val="false"/>
          <w:i w:val="false"/>
          <w:color w:val="000000"/>
          <w:sz w:val="22"/>
        </w:rPr>
        <w:t xml:space="preserve">An issuer shall comply with </w:t>
      </w:r>
      <w:r>
        <w:rPr>
          <w:rFonts w:ascii="Times New Roman" w:hAnsi="Times New Roman"/>
          <w:b w:val="false"/>
          <w:i w:val="false"/>
          <w:color w:val="000000"/>
          <w:sz w:val="22"/>
        </w:rPr>
        <w:t>Section 1882(c)(3) of the Social Security Act</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Section 4081(b)(2)(C) of the Omnibus Budget Reconciliation Act of 1987</w:t>
      </w:r>
      <w:r>
        <w:rPr>
          <w:rFonts w:ascii="Times New Roman" w:hAnsi="Times New Roman"/>
          <w:b w:val="false"/>
          <w:i w:val="false"/>
          <w:color w:val="000000"/>
          <w:sz w:val="22"/>
        </w:rPr>
        <w:t xml:space="preserve"> (OBRA) 1987, Pub. L. No. 100-203)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Accepting a notice from an issuer on dually assigned claims submitted by participating providers and suppliers as a claim for benefits in place of any other claim form otherwise required and making a payment determination on the basis of the information contained in that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Notifying the participating provider or supplier and the beneficiary of the payment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Paying the participating provider or supplier directly;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Furnishing, at the time of enrollment, each covered individual with a card listing the policy name, number and a central mailing address to which notices from an issuer may be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Paying user fees for claim notices that are transmitted electronically or otherwise;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Providing to the Secretary, at least annually, the issuer’s central mailing address to which all claims may be sent by other issuers.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37.22(2)</w:t>
      </w:r>
      <w:r>
        <w:rPr>
          <w:rFonts w:ascii="Times New Roman" w:hAnsi="Times New Roman"/>
          <w:b w:val="false"/>
          <w:i w:val="false"/>
          <w:color w:val="000000"/>
          <w:sz w:val="22"/>
        </w:rPr>
        <w:t> </w:t>
      </w:r>
      <w:r>
        <w:rPr>
          <w:rFonts w:ascii="Times New Roman" w:hAnsi="Times New Roman"/>
          <w:b w:val="false"/>
          <w:i/>
          <w:color w:val="000000"/>
          <w:sz w:val="22"/>
        </w:rPr>
        <w:t xml:space="preserve">Certification of compliance with OBRA. </w:t>
      </w:r>
      <w:r>
        <w:rPr>
          <w:rFonts w:ascii="Times New Roman" w:hAnsi="Times New Roman"/>
          <w:b w:val="false"/>
          <w:i w:val="false"/>
          <w:color w:val="000000"/>
          <w:sz w:val="22"/>
        </w:rPr>
        <w:t xml:space="preserve">Compliance with the requirements set forth in </w:t>
      </w:r>
      <w:hyperlink r:id="rId173">
        <w:r>
          <w:rPr>
            <w:rStyle w:val="Hyperlink"/>
            <w:rFonts w:ascii="Times New Roman" w:hAnsi="Times New Roman"/>
            <w:b w:val="false"/>
            <w:i w:val="false"/>
            <w:color w:val="000000"/>
            <w:sz w:val="22"/>
          </w:rPr>
          <w:t>37.22(1)</w:t>
        </w:r>
      </w:hyperlink>
      <w:r>
        <w:rPr>
          <w:rFonts w:ascii="Times New Roman" w:hAnsi="Times New Roman"/>
          <w:b w:val="false"/>
          <w:i w:val="false"/>
          <w:color w:val="000000"/>
          <w:sz w:val="22"/>
        </w:rPr>
        <w:t xml:space="preserve"> shall be certified on the Medicare supplement insurance experience reporting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191—37.23</w:t>
      </w:r>
      <w:r>
        <w:rPr>
          <w:rFonts w:ascii="Times New Roman" w:hAnsi="Times New Roman"/>
          <w:b/>
          <w:i w:val="false"/>
          <w:color w:val="000000"/>
          <w:sz w:val="22"/>
        </w:rPr>
        <w:t xml:space="preserve">(514D) </w:t>
      </w:r>
      <w:r>
        <w:rPr>
          <w:rFonts w:ascii="Times New Roman" w:hAnsi="Times New Roman"/>
          <w:b/>
          <w:i w:val="false"/>
          <w:color w:val="000000"/>
          <w:sz w:val="22"/>
        </w:rPr>
        <w:t xml:space="preserve">Loss ratio standards and refund or credit of premium.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care expenses” </w:t>
      </w:r>
      <w:r>
        <w:rPr>
          <w:rFonts w:ascii="Times New Roman" w:hAnsi="Times New Roman"/>
          <w:b w:val="false"/>
          <w:i w:val="false"/>
          <w:color w:val="000000"/>
          <w:sz w:val="22"/>
        </w:rPr>
        <w:t>means expenses of health maintenance organizations associated with the delivery of health care services, which expenses are analogous to incurred losses of issuers.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means one of the following: an individual policy, a group policy, an individual Medicare Select policy, or a group Medicare Select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37.23(2)</w:t>
      </w:r>
      <w:r>
        <w:rPr>
          <w:rFonts w:ascii="Times New Roman" w:hAnsi="Times New Roman"/>
          <w:b w:val="false"/>
          <w:i w:val="false"/>
          <w:color w:val="000000"/>
          <w:sz w:val="22"/>
        </w:rPr>
        <w:t> </w:t>
      </w:r>
      <w:r>
        <w:rPr>
          <w:rFonts w:ascii="Times New Roman" w:hAnsi="Times New Roman"/>
          <w:b w:val="false"/>
          <w:i/>
          <w:color w:val="000000"/>
          <w:sz w:val="22"/>
        </w:rPr>
        <w:t xml:space="preserve">Loss ratio standards.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Calculations.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Medicare supplement policy form or certificate form shall not be delivered or issued for delivery unless the Medicare supplement policy form or certificate form can be expected, as estimated for the entire period for which rates are computed to provide coverage, to return to covered individuals one of the following amounts in the form of aggregate benefits (not including anticipated refunds or credits) provided under the policy form or certificate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 least 75 percent of the aggregate amount of premiums earned in the case of group Medicare supplement policies,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65 percent of the aggregate amount of premiums earned in the case of individual Medicare supplement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percentages in </w:t>
      </w:r>
      <w:hyperlink r:id="rId174">
        <w:r>
          <w:rPr>
            <w:rStyle w:val="Hyperlink"/>
            <w:rFonts w:ascii="Times New Roman" w:hAnsi="Times New Roman"/>
            <w:b w:val="false"/>
            <w:i w:val="false"/>
            <w:color w:val="000000"/>
            <w:sz w:val="22"/>
          </w:rPr>
          <w:t>subparagraph 37.23(2)</w:t>
        </w:r>
      </w:hyperlink>
      <w:r>
        <w:rPr>
          <w:rFonts w:ascii="Times New Roman" w:hAnsi="Times New Roman"/>
          <w:b w:val="false"/>
          <w:i/>
          <w:color w:val="000000"/>
          <w:sz w:val="22"/>
        </w:rPr>
        <w:t>“a”</w:t>
      </w:r>
      <w:r>
        <w:rPr>
          <w:rFonts w:ascii="Times New Roman" w:hAnsi="Times New Roman"/>
          <w:b w:val="false"/>
          <w:i w:val="false"/>
          <w:color w:val="000000"/>
          <w:sz w:val="22"/>
        </w:rPr>
        <w:t>(1) are to be calculated on the basis of incurred claims experience or incurred health care expenses where coverage is provided by a health maintenance organization on a service rather than reimbursement basis and earned premiums for such period and in accordance with accepted actuarial principles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w:t>
      </w:r>
      <w:hyperlink r:id="rId175">
        <w:r>
          <w:rPr>
            <w:rStyle w:val="Hyperlink"/>
            <w:rFonts w:ascii="Times New Roman" w:hAnsi="Times New Roman"/>
            <w:b w:val="false"/>
            <w:i w:val="false"/>
            <w:color w:val="000000"/>
            <w:sz w:val="22"/>
          </w:rPr>
          <w:t>subparagraph 37.23(2)</w:t>
        </w:r>
      </w:hyperlink>
      <w:r>
        <w:rPr>
          <w:rFonts w:ascii="Times New Roman" w:hAnsi="Times New Roman"/>
          <w:b w:val="false"/>
          <w:i/>
          <w:color w:val="000000"/>
          <w:sz w:val="22"/>
        </w:rPr>
        <w:t>“a”</w:t>
      </w:r>
      <w:r>
        <w:rPr>
          <w:rFonts w:ascii="Times New Roman" w:hAnsi="Times New Roman"/>
          <w:b w:val="false"/>
          <w:i w:val="false"/>
          <w:color w:val="000000"/>
          <w:sz w:val="22"/>
        </w:rPr>
        <w:t>(2), “incurred health care expenses where coverage is provided by a health maintenance organization”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Home office and overhead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Advertising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Commissions and other acquisition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Taxes;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Capital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Administrative costs;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Claims processing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 demonstration of compliance. </w:t>
      </w:r>
      <w:r>
        <w:rPr>
          <w:rFonts w:ascii="Times New Roman" w:hAnsi="Times New Roman"/>
          <w:b w:val="false"/>
          <w:i w:val="false"/>
          <w:color w:val="000000"/>
          <w:sz w:val="22"/>
        </w:rPr>
        <w:t>All filings of rates and rating schedules shall demonstrate that expected claims in relation to premiums comply with the requirements of this rule when combined with actual experience to date. Filings of rate revisions shall also demonstrate that the anticipated loss ratio over the entire future period for which the revised rates are computed to provide coverage can be expected to meet the appropriate loss ratio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Certain direct sales. </w:t>
      </w:r>
      <w:r>
        <w:rPr>
          <w:rFonts w:ascii="Times New Roman" w:hAnsi="Times New Roman"/>
          <w:b w:val="false"/>
          <w:i w:val="false"/>
          <w:color w:val="000000"/>
          <w:sz w:val="22"/>
        </w:rPr>
        <w:t xml:space="preserve">For purposes of applying </w:t>
      </w:r>
      <w:hyperlink r:id="rId176">
        <w:r>
          <w:rPr>
            <w:rStyle w:val="Hyperlink"/>
            <w:rFonts w:ascii="Times New Roman" w:hAnsi="Times New Roman"/>
            <w:b w:val="false"/>
            <w:i w:val="false"/>
            <w:color w:val="000000"/>
            <w:sz w:val="22"/>
          </w:rPr>
          <w:t>paragraph 37.23(2)</w:t>
        </w:r>
      </w:hyperlink>
      <w:r>
        <w:rPr>
          <w:rFonts w:ascii="Times New Roman" w:hAnsi="Times New Roman"/>
          <w:b w:val="false"/>
          <w:i/>
          <w:color w:val="000000"/>
          <w:sz w:val="22"/>
        </w:rPr>
        <w:t>“a”</w:t>
      </w:r>
      <w:r>
        <w:rPr>
          <w:rFonts w:ascii="Times New Roman" w:hAnsi="Times New Roman"/>
          <w:b w:val="false"/>
          <w:i w:val="false"/>
          <w:color w:val="000000"/>
          <w:sz w:val="22"/>
        </w:rPr>
        <w:t xml:space="preserve"> only, policies issued as a result of solicitations of individuals through the mails or by mass media advertising (including both print and broadcast advertising) shall be deemed to be individual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Prestandardized plans. </w:t>
      </w:r>
      <w:r>
        <w:rPr>
          <w:rFonts w:ascii="Times New Roman" w:hAnsi="Times New Roman"/>
          <w:b w:val="false"/>
          <w:i w:val="false"/>
          <w:color w:val="000000"/>
          <w:sz w:val="22"/>
        </w:rPr>
        <w:t>For all policies issued prior to January 1, 1992, expected claims in relation to premiums shall meet: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originally filed anticipated loss ratio when combined with the actual experience from inception;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loss ratio requirement from paragraphs “1” and “2” of </w:t>
      </w:r>
      <w:hyperlink r:id="rId177">
        <w:r>
          <w:rPr>
            <w:rStyle w:val="Hyperlink"/>
            <w:rFonts w:ascii="Times New Roman" w:hAnsi="Times New Roman"/>
            <w:b w:val="false"/>
            <w:i w:val="false"/>
            <w:color w:val="000000"/>
            <w:sz w:val="22"/>
          </w:rPr>
          <w:t>subparagraph 37.23(1)</w:t>
        </w:r>
      </w:hyperlink>
      <w:r>
        <w:rPr>
          <w:rFonts w:ascii="Times New Roman" w:hAnsi="Times New Roman"/>
          <w:b w:val="false"/>
          <w:i/>
          <w:color w:val="000000"/>
          <w:sz w:val="22"/>
        </w:rPr>
        <w:t>“a”</w:t>
      </w:r>
      <w:r>
        <w:rPr>
          <w:rFonts w:ascii="Times New Roman" w:hAnsi="Times New Roman"/>
          <w:b w:val="false"/>
          <w:i w:val="false"/>
          <w:color w:val="000000"/>
          <w:sz w:val="22"/>
        </w:rPr>
        <w:t>(1) when combined with actual experience beginning with January 1, 1996, to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appropriate loss ratio requirement from paragraphs “1” and “2” of </w:t>
      </w:r>
      <w:hyperlink r:id="rId178">
        <w:r>
          <w:rPr>
            <w:rStyle w:val="Hyperlink"/>
            <w:rFonts w:ascii="Times New Roman" w:hAnsi="Times New Roman"/>
            <w:b w:val="false"/>
            <w:i w:val="false"/>
            <w:color w:val="000000"/>
            <w:sz w:val="22"/>
          </w:rPr>
          <w:t>subparagraph 37.23(1)</w:t>
        </w:r>
      </w:hyperlink>
      <w:r>
        <w:rPr>
          <w:rFonts w:ascii="Times New Roman" w:hAnsi="Times New Roman"/>
          <w:b w:val="false"/>
          <w:i/>
          <w:color w:val="000000"/>
          <w:sz w:val="22"/>
        </w:rPr>
        <w:t>“a”</w:t>
      </w:r>
      <w:r>
        <w:rPr>
          <w:rFonts w:ascii="Times New Roman" w:hAnsi="Times New Roman"/>
          <w:b w:val="false"/>
          <w:i w:val="false"/>
          <w:color w:val="000000"/>
          <w:sz w:val="22"/>
        </w:rPr>
        <w:t>(1) over the entire future period for which rates are computed to provide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37.23(3)</w:t>
      </w:r>
      <w:r>
        <w:rPr>
          <w:rFonts w:ascii="Times New Roman" w:hAnsi="Times New Roman"/>
          <w:b w:val="false"/>
          <w:i w:val="false"/>
          <w:color w:val="000000"/>
          <w:sz w:val="22"/>
        </w:rPr>
        <w:t> </w:t>
      </w:r>
      <w:r>
        <w:rPr>
          <w:rFonts w:ascii="Times New Roman" w:hAnsi="Times New Roman"/>
          <w:b w:val="false"/>
          <w:i/>
          <w:color w:val="000000"/>
          <w:sz w:val="22"/>
        </w:rPr>
        <w:t xml:space="preserve">Refund or credit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issuer shall collect and file with the commissioner by May 31 of each year the data contained in the reporting form contained in Appendix A for each type in a standardized Medicare supplement benefit plan (SMSBP).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on the basis of the experience as reported, the benchmark ratio since inception (Appendix A, ratio 1) exceeds the adjusted experience ratio since inception (Appendix A, ratio 3), then a refund or credit calculation is required. The refund calculation shall be done on a statewide basis for each type in an SMSBP. For purposes of the refund or credit calculation, experience on SMSBP policies issued within the reporting year shall be excluded.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for SMSBP policies or certificates issued prior to January 1, 1992, the issuer shall make the refund or credit calculation separately for all individual SMSBP policies (including all group SMSBP policies subject to an individual loss ratio standard when issued) combined and all other group SMSBP policies combined for experience after January 1, 1996. The first report shall be due May 31, 1998.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refund or credit shall be made only when the benchmark loss ratio exceeds the adjusted experience loss ratio and the amount to be refunded or credited exceeds a de minimis level. Such refund shall include interest from the end of the calendar year to the date of the refund or credit at a rate specified by the Secretary, but in no event shall it be less than the average rate of interest for 13-week Treasury notes. A refund or credit against premiums due shall be made by September 30 following the experience year upon which the refund or credit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37.23(4)</w:t>
      </w:r>
      <w:r>
        <w:rPr>
          <w:rFonts w:ascii="Times New Roman" w:hAnsi="Times New Roman"/>
          <w:b w:val="false"/>
          <w:i w:val="false"/>
          <w:color w:val="000000"/>
          <w:sz w:val="22"/>
        </w:rPr>
        <w:t> </w:t>
      </w:r>
      <w:r>
        <w:rPr>
          <w:rFonts w:ascii="Times New Roman" w:hAnsi="Times New Roman"/>
          <w:b w:val="false"/>
          <w:i/>
          <w:color w:val="000000"/>
          <w:sz w:val="22"/>
        </w:rPr>
        <w:t xml:space="preserve">Annual filing of premium rates. </w:t>
      </w:r>
      <w:r>
        <w:rPr>
          <w:rFonts w:ascii="Times New Roman" w:hAnsi="Times New Roman"/>
          <w:b w:val="false"/>
          <w:i w:val="false"/>
          <w:color w:val="000000"/>
          <w:sz w:val="22"/>
        </w:rPr>
        <w:t>An issuer of Medicare supplement policies and certificates issued before or after the effective date of January 1, 1992, in this state shall file annually its rates, rating schedule and supporting documentation including ratios of incurred losses to earned premiums by SMSBP policy duration for approval by the commissioner in accordance with the filing requirements and procedures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supporting documentation shall also demonstrate in accordance with actuarial standards of practice using reasonable assumptions that the appropriate loss ratio standards can be expected to be met over the entire period for which rates are computed.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demonstration shall exclude active life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expected third-year loss ratio which is greater than or equal to the applicable percentage shall be demonstrated for SMSBP policies or certificates in force less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soon as practicable, but prior to the effective date of enhancements in Medicare benefits, every issuer of Medicare supplement policies or certificates in this state shall file with the commissioner, in accordance with the applicable filing procedures of this state,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Such supporting documents as necessary to justify that the adjustments are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Appropriate premium adjustments shall be those which: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necessary to produce loss ratios as anticipated for the current premium for the applicable SMSBP policies or certificates;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Are necessary to produce an expected loss ratio under such SMSBP policies or certificates as will conform with minimum loss ratio standards for SMSBP policies or certificates; and </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Are expected to result in a loss ratio at least as great as that originally anticipated in the rates used to produce current premiums by the issuer for such SMSBP policies or certificates.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 premium adjustment which would modify the loss ratio experience under the SMSBP policy other than the adjustments described herein shall be made with respect to an SMSBP policy at any time other than upon its renewal date or anniversary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issuer fails to make premium adjustments acceptable to the commissioner, the commissioner may order premium adjustments, refunds or premium credits deemed necessary to achieve the loss ratio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appropriate riders, endorsements or policy forms needed to accomplish the SMSBP policy or certificate modifications necessary to eliminate benefit duplications with Medicare. Such riders, endorsements or policy forms shall provide a clear description of the Medicare supplement benefits provided by the SMSBP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37.23(5)</w:t>
      </w:r>
      <w:r>
        <w:rPr>
          <w:rFonts w:ascii="Times New Roman" w:hAnsi="Times New Roman"/>
          <w:b w:val="false"/>
          <w:i w:val="false"/>
          <w:color w:val="000000"/>
          <w:sz w:val="22"/>
        </w:rPr>
        <w:t> </w:t>
      </w:r>
      <w:r>
        <w:rPr>
          <w:rFonts w:ascii="Times New Roman" w:hAnsi="Times New Roman"/>
          <w:b w:val="false"/>
          <w:i/>
          <w:color w:val="000000"/>
          <w:sz w:val="22"/>
        </w:rPr>
        <w:t xml:space="preserve">Public hearings. </w:t>
      </w:r>
      <w:r>
        <w:rPr>
          <w:rFonts w:ascii="Times New Roman" w:hAnsi="Times New Roman"/>
          <w:b w:val="false"/>
          <w:i w:val="false"/>
          <w:color w:val="000000"/>
          <w:sz w:val="22"/>
        </w:rPr>
        <w:t>The commissioner may conduct a public hearing to gather information concerning a request by an issuer for an increase in a rate for an SMSBP policy form or certificate form issued before or after the effective date of January 1, 1992, if the experience of the form for the previous reporting period is not in compliance with the applicable loss ratio standard. The determination of compliance is to be made without consideration of any refund or credit for such reporting period. Public notice of such hearing shall be furnished in a manner deemed appropriate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191—37.24</w:t>
      </w:r>
      <w:r>
        <w:rPr>
          <w:rFonts w:ascii="Times New Roman" w:hAnsi="Times New Roman"/>
          <w:b/>
          <w:i w:val="false"/>
          <w:color w:val="000000"/>
          <w:sz w:val="22"/>
        </w:rPr>
        <w:t xml:space="preserve">(514D) </w:t>
      </w:r>
      <w:r>
        <w:rPr>
          <w:rFonts w:ascii="Times New Roman" w:hAnsi="Times New Roman"/>
          <w:b/>
          <w:i w:val="false"/>
          <w:color w:val="000000"/>
          <w:sz w:val="22"/>
        </w:rPr>
        <w:t xml:space="preserve">Filing and approval of policies and certificates and premium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For the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means one of the following: an individual policy, a group policy, an individual Medicare Select policy, or a group Medicare Select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37.24(2)</w:t>
      </w:r>
      <w:r>
        <w:rPr>
          <w:rFonts w:ascii="Times New Roman" w:hAnsi="Times New Roman"/>
          <w:b w:val="false"/>
          <w:i w:val="false"/>
          <w:color w:val="000000"/>
          <w:sz w:val="22"/>
        </w:rPr>
        <w:t> </w:t>
      </w:r>
      <w:r>
        <w:rPr>
          <w:rFonts w:ascii="Times New Roman" w:hAnsi="Times New Roman"/>
          <w:b w:val="false"/>
          <w:i/>
          <w:color w:val="000000"/>
          <w:sz w:val="22"/>
        </w:rPr>
        <w:t xml:space="preserve">Form filing and approval required. </w:t>
      </w:r>
      <w:r>
        <w:rPr>
          <w:rFonts w:ascii="Times New Roman" w:hAnsi="Times New Roman"/>
          <w:b w:val="false"/>
          <w:i w:val="false"/>
          <w:color w:val="000000"/>
          <w:sz w:val="22"/>
        </w:rPr>
        <w:t xml:space="preserve">An issuer shall not deliver or issue for delivery a policy or certificate to a resident of this state unless the SMSBP policy form or certificate form has been filed pursuant to rule </w:t>
      </w:r>
      <w:hyperlink r:id="rId179">
        <w:r>
          <w:rPr>
            <w:rStyle w:val="Hyperlink"/>
            <w:rFonts w:ascii="Times New Roman" w:hAnsi="Times New Roman"/>
            <w:b w:val="false"/>
            <w:i w:val="false"/>
            <w:color w:val="000000"/>
            <w:sz w:val="22"/>
          </w:rPr>
          <w:t>191—20.1</w:t>
        </w:r>
      </w:hyperlink>
      <w:r>
        <w:rPr>
          <w:rFonts w:ascii="Times New Roman" w:hAnsi="Times New Roman"/>
          <w:b w:val="false"/>
          <w:i w:val="false"/>
          <w:color w:val="000000"/>
          <w:sz w:val="22"/>
        </w:rPr>
        <w:t>(505,509,514A,515,515A,515F) and approved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37.24(3)</w:t>
      </w:r>
      <w:r>
        <w:rPr>
          <w:rFonts w:ascii="Times New Roman" w:hAnsi="Times New Roman"/>
          <w:b w:val="false"/>
          <w:i w:val="false"/>
          <w:color w:val="000000"/>
          <w:sz w:val="22"/>
        </w:rPr>
        <w:t> </w:t>
      </w:r>
      <w:r>
        <w:rPr>
          <w:rFonts w:ascii="Times New Roman" w:hAnsi="Times New Roman"/>
          <w:b w:val="false"/>
          <w:i/>
          <w:color w:val="000000"/>
          <w:sz w:val="22"/>
        </w:rPr>
        <w:t xml:space="preserve">MMA requirements to be filed with state of issue. </w:t>
      </w:r>
      <w:r>
        <w:rPr>
          <w:rFonts w:ascii="Times New Roman" w:hAnsi="Times New Roman"/>
          <w:b w:val="false"/>
          <w:i w:val="false"/>
          <w:color w:val="000000"/>
          <w:sz w:val="22"/>
        </w:rPr>
        <w:t>An issuer shall file any riders or amendments to SMSBP policy or certificate forms to delete outpatient prescription drug benefits as required by the MMA only with the commissioner in the state in which the policy or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37.24(4)</w:t>
      </w:r>
      <w:r>
        <w:rPr>
          <w:rFonts w:ascii="Times New Roman" w:hAnsi="Times New Roman"/>
          <w:b w:val="false"/>
          <w:i w:val="false"/>
          <w:color w:val="000000"/>
          <w:sz w:val="22"/>
        </w:rPr>
        <w:t> </w:t>
      </w:r>
      <w:r>
        <w:rPr>
          <w:rFonts w:ascii="Times New Roman" w:hAnsi="Times New Roman"/>
          <w:b w:val="false"/>
          <w:i/>
          <w:color w:val="000000"/>
          <w:sz w:val="22"/>
        </w:rPr>
        <w:t xml:space="preserve">Rate filing and approval required. </w:t>
      </w:r>
      <w:r>
        <w:rPr>
          <w:rFonts w:ascii="Times New Roman" w:hAnsi="Times New Roman"/>
          <w:b w:val="false"/>
          <w:i w:val="false"/>
          <w:color w:val="000000"/>
          <w:sz w:val="22"/>
        </w:rPr>
        <w:t>An issuer shall not use or change premium rates for a Medicare supplement policy or certificate unless the rates, rating schedule and supporting documentation have been filed with and approved by the commissioner in accordance with the filing requirements and procedures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37.24(5)</w:t>
      </w:r>
      <w:r>
        <w:rPr>
          <w:rFonts w:ascii="Times New Roman" w:hAnsi="Times New Roman"/>
          <w:b w:val="false"/>
          <w:i w:val="false"/>
          <w:color w:val="000000"/>
          <w:sz w:val="22"/>
        </w:rPr>
        <w:t> </w:t>
      </w:r>
      <w:r>
        <w:rPr>
          <w:rFonts w:ascii="Times New Roman" w:hAnsi="Times New Roman"/>
          <w:b w:val="false"/>
          <w:i/>
          <w:color w:val="000000"/>
          <w:sz w:val="22"/>
        </w:rPr>
        <w:t xml:space="preserve">One form per type.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80">
        <w:r>
          <w:rPr>
            <w:rStyle w:val="Hyperlink"/>
            <w:rFonts w:ascii="Times New Roman" w:hAnsi="Times New Roman"/>
            <w:b w:val="false"/>
            <w:i w:val="false"/>
            <w:color w:val="000000"/>
            <w:sz w:val="22"/>
          </w:rPr>
          <w:t>paragraph 37.24(5)</w:t>
        </w:r>
      </w:hyperlink>
      <w:r>
        <w:rPr>
          <w:rFonts w:ascii="Times New Roman" w:hAnsi="Times New Roman"/>
          <w:b w:val="false"/>
          <w:i/>
          <w:color w:val="000000"/>
          <w:sz w:val="22"/>
        </w:rPr>
        <w:t>“b,”</w:t>
      </w:r>
      <w:r>
        <w:rPr>
          <w:rFonts w:ascii="Times New Roman" w:hAnsi="Times New Roman"/>
          <w:b w:val="false"/>
          <w:i w:val="false"/>
          <w:color w:val="000000"/>
          <w:sz w:val="22"/>
        </w:rPr>
        <w:t xml:space="preserve"> an issuer shall not file for approval more than one form of a policy or certificate of each type for each SMSBP.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issuer may offer, with the approval of the commissioner, up to four additional policy forms or certificate forms of the same type for the same SMSBP, one for each of the following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inclusion of new or innovative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addition of either direct response or producer marketing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addition of either guaranteed issue or underwritten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offering of coverage to individuals eligible for Medicare by reason of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37.24(6)</w:t>
      </w:r>
      <w:r>
        <w:rPr>
          <w:rFonts w:ascii="Times New Roman" w:hAnsi="Times New Roman"/>
          <w:b w:val="false"/>
          <w:i w:val="false"/>
          <w:color w:val="000000"/>
          <w:sz w:val="22"/>
        </w:rPr>
        <w:t> </w:t>
      </w:r>
      <w:r>
        <w:rPr>
          <w:rFonts w:ascii="Times New Roman" w:hAnsi="Times New Roman"/>
          <w:b w:val="false"/>
          <w:i/>
          <w:color w:val="000000"/>
          <w:sz w:val="22"/>
        </w:rPr>
        <w:t xml:space="preserve">Forms to be kept available once approved.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81">
        <w:r>
          <w:rPr>
            <w:rStyle w:val="Hyperlink"/>
            <w:rFonts w:ascii="Times New Roman" w:hAnsi="Times New Roman"/>
            <w:b w:val="false"/>
            <w:i w:val="false"/>
            <w:color w:val="000000"/>
            <w:sz w:val="22"/>
          </w:rPr>
          <w:t>subparagraph 37.24(6)</w:t>
        </w:r>
      </w:hyperlink>
      <w:r>
        <w:rPr>
          <w:rFonts w:ascii="Times New Roman" w:hAnsi="Times New Roman"/>
          <w:b w:val="false"/>
          <w:i/>
          <w:color w:val="000000"/>
          <w:sz w:val="22"/>
        </w:rPr>
        <w:t>“a”</w:t>
      </w:r>
      <w:r>
        <w:rPr>
          <w:rFonts w:ascii="Times New Roman" w:hAnsi="Times New Roman"/>
          <w:b w:val="false"/>
          <w:i w:val="false"/>
          <w:color w:val="000000"/>
          <w:sz w:val="22"/>
        </w:rPr>
        <w:t>(1), an issuer shall continue to make available for purchase any SMSBP policy form or certificate form issued after January 1, 1992, that has been approved by the commissioner. An SMSBP policy form or certificate form shall not be considered to be available for purchase unless the issuer has actively offered it for sale in the previous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issuer may discontinue the availability of an SMSBP policy form or certificate form if the issuer provides to the commissioner in writing its decision at least 30 days prior to discontinuing the availability of the form of the SMSBP policy or certificate. After receipt of the notice by the commissioner, the issuer shall no longer offer for sale the SMSBP policy form or certificate form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that discontinues the availability of an SMSBP policy form or certificate form pursuant to </w:t>
      </w:r>
      <w:hyperlink r:id="rId182">
        <w:r>
          <w:rPr>
            <w:rStyle w:val="Hyperlink"/>
            <w:rFonts w:ascii="Times New Roman" w:hAnsi="Times New Roman"/>
            <w:b w:val="false"/>
            <w:i w:val="false"/>
            <w:color w:val="000000"/>
            <w:sz w:val="22"/>
          </w:rPr>
          <w:t>subparagraph 37.24(6)</w:t>
        </w:r>
      </w:hyperlink>
      <w:r>
        <w:rPr>
          <w:rFonts w:ascii="Times New Roman" w:hAnsi="Times New Roman"/>
          <w:b w:val="false"/>
          <w:i/>
          <w:color w:val="000000"/>
          <w:sz w:val="22"/>
        </w:rPr>
        <w:t>“a”</w:t>
      </w:r>
      <w:r>
        <w:rPr>
          <w:rFonts w:ascii="Times New Roman" w:hAnsi="Times New Roman"/>
          <w:b w:val="false"/>
          <w:i w:val="false"/>
          <w:color w:val="000000"/>
          <w:sz w:val="22"/>
        </w:rPr>
        <w:t>(1) shall not file for approval of a new SMSBP policy form or certificate form of the same type for the same SMSBP as the discontinued form for a period of five years after the issuer provides notice to the commissioner of the discontinuance. The period of discontinuance may be reduced if the commissioner determines that a shorter period is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sale or other transfer of Medicare supplement business to another issuer shall be considered a discontinuance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the rating structure or methodology shall be considered a discontinuance under </w:t>
      </w:r>
      <w:hyperlink r:id="rId183">
        <w:r>
          <w:rPr>
            <w:rStyle w:val="Hyperlink"/>
            <w:rFonts w:ascii="Times New Roman" w:hAnsi="Times New Roman"/>
            <w:b w:val="false"/>
            <w:i w:val="false"/>
            <w:color w:val="000000"/>
            <w:sz w:val="22"/>
          </w:rPr>
          <w:t>paragraph 37.24(6)</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the issuer complies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issuer provides an actuarial memorandum, in a form and manner prescribed by the commissioner, describing the manner in which the revised rating methodology and resultant rates differ from the existing rating methodology and resultant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 does not subsequently put into effect a change of rates or rating factors that would cause the percentage differential between the discontinued and subsequent rates as described in the actuarial memorandum to change. The commissioner may approve a change to the differential which is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37.24(7)</w:t>
      </w:r>
      <w:r>
        <w:rPr>
          <w:rFonts w:ascii="Times New Roman" w:hAnsi="Times New Roman"/>
          <w:b w:val="false"/>
          <w:i w:val="false"/>
          <w:color w:val="000000"/>
          <w:sz w:val="22"/>
        </w:rPr>
        <w:t> </w:t>
      </w:r>
      <w:r>
        <w:rPr>
          <w:rFonts w:ascii="Times New Roman" w:hAnsi="Times New Roman"/>
          <w:b w:val="false"/>
          <w:i/>
          <w:color w:val="000000"/>
          <w:sz w:val="22"/>
        </w:rPr>
        <w:t xml:space="preserve">Experience under forms of same type to be combined for calculations.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w:t>
      </w:r>
      <w:hyperlink r:id="rId184">
        <w:r>
          <w:rPr>
            <w:rStyle w:val="Hyperlink"/>
            <w:rFonts w:ascii="Times New Roman" w:hAnsi="Times New Roman"/>
            <w:b w:val="false"/>
            <w:i w:val="false"/>
            <w:color w:val="000000"/>
            <w:sz w:val="22"/>
          </w:rPr>
          <w:t>paragraph 37.24(7)</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experience under all SMSBP policy forms or certificate forms of the same type in an SMSBP shall be combined for purposes of the refund or credit calculation prescribed in rule </w:t>
      </w:r>
      <w:hyperlink r:id="rId185">
        <w:r>
          <w:rPr>
            <w:rStyle w:val="Hyperlink"/>
            <w:rFonts w:ascii="Times New Roman" w:hAnsi="Times New Roman"/>
            <w:b w:val="false"/>
            <w:i w:val="false"/>
            <w:color w:val="000000"/>
            <w:sz w:val="22"/>
          </w:rPr>
          <w:t>191—37.23</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Forms assumed under an assumption reinsurance agreement shall not be combined with the experience of other policy or certificate forms for purposes of the refund or credit calculation.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191—37.25</w:t>
      </w:r>
      <w:r>
        <w:rPr>
          <w:rFonts w:ascii="Times New Roman" w:hAnsi="Times New Roman"/>
          <w:b/>
          <w:i w:val="false"/>
          <w:color w:val="000000"/>
          <w:sz w:val="22"/>
        </w:rPr>
        <w:t xml:space="preserve">(514D) </w:t>
      </w:r>
      <w:r>
        <w:rPr>
          <w:rFonts w:ascii="Times New Roman" w:hAnsi="Times New Roman"/>
          <w:b/>
          <w:i w:val="false"/>
          <w:color w:val="000000"/>
          <w:sz w:val="22"/>
        </w:rPr>
        <w:t xml:space="preserve">Permitted compensation arrangements.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37.25(1)</w:t>
      </w:r>
      <w:r>
        <w:rPr>
          <w:rFonts w:ascii="Times New Roman" w:hAnsi="Times New Roman"/>
          <w:b w:val="false"/>
          <w:i w:val="false"/>
          <w:color w:val="000000"/>
          <w:sz w:val="22"/>
        </w:rPr>
        <w:t> </w:t>
      </w:r>
      <w:r>
        <w:rPr>
          <w:rFonts w:ascii="Times New Roman" w:hAnsi="Times New Roman"/>
          <w:b w:val="false"/>
          <w:i/>
          <w:color w:val="000000"/>
          <w:sz w:val="22"/>
        </w:rPr>
        <w:t xml:space="preserve">Definition of “compensation.”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includes pecuniary or nonpecuniary remuneration of any kind relating to the sale or renewal of the Medicare supplement or Medicare Select policy or certificate including, but not limited to, bonuses, gifts, prizes, awards and finder’s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37.25(2)</w:t>
      </w:r>
      <w:r>
        <w:rPr>
          <w:rFonts w:ascii="Times New Roman" w:hAnsi="Times New Roman"/>
          <w:b w:val="false"/>
          <w:i w:val="false"/>
          <w:color w:val="000000"/>
          <w:sz w:val="22"/>
        </w:rPr>
        <w:t> </w:t>
      </w:r>
      <w:r>
        <w:rPr>
          <w:rFonts w:ascii="Times New Roman" w:hAnsi="Times New Roman"/>
          <w:b w:val="false"/>
          <w:i/>
          <w:color w:val="000000"/>
          <w:sz w:val="22"/>
        </w:rPr>
        <w:t xml:space="preserve">Compensation to producer for sales. </w:t>
      </w:r>
      <w:r>
        <w:rPr>
          <w:rFonts w:ascii="Times New Roman" w:hAnsi="Times New Roman"/>
          <w:b w:val="false"/>
          <w:i w:val="false"/>
          <w:color w:val="000000"/>
          <w:sz w:val="22"/>
        </w:rPr>
        <w:t>An issuer or other entity may provide a commission or other compensation to a producer or other representative for the sale of a Medicare supplement policy or certificate only if the first-year commission or other first-year compensation is no more than 200 percent of the commission or other compensation paid for selling or servicing the Medicare supplement policy or certificate in the second year or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37.25(3)</w:t>
      </w:r>
      <w:r>
        <w:rPr>
          <w:rFonts w:ascii="Times New Roman" w:hAnsi="Times New Roman"/>
          <w:b w:val="false"/>
          <w:i w:val="false"/>
          <w:color w:val="000000"/>
          <w:sz w:val="22"/>
        </w:rPr>
        <w:t> </w:t>
      </w:r>
      <w:r>
        <w:rPr>
          <w:rFonts w:ascii="Times New Roman" w:hAnsi="Times New Roman"/>
          <w:b w:val="false"/>
          <w:i/>
          <w:color w:val="000000"/>
          <w:sz w:val="22"/>
        </w:rPr>
        <w:t xml:space="preserve">Compensation to producer for renewals. </w:t>
      </w:r>
      <w:r>
        <w:rPr>
          <w:rFonts w:ascii="Times New Roman" w:hAnsi="Times New Roman"/>
          <w:b w:val="false"/>
          <w:i w:val="false"/>
          <w:color w:val="000000"/>
          <w:sz w:val="22"/>
        </w:rPr>
        <w:t>The commission or other compensation provided in subsequent (renewal) years must be the same as that provided in the second year or period and must be provided for no fewer than five renewal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37.25(4)</w:t>
      </w:r>
      <w:r>
        <w:rPr>
          <w:rFonts w:ascii="Times New Roman" w:hAnsi="Times New Roman"/>
          <w:b w:val="false"/>
          <w:i w:val="false"/>
          <w:color w:val="000000"/>
          <w:sz w:val="22"/>
        </w:rPr>
        <w:t> </w:t>
      </w:r>
      <w:r>
        <w:rPr>
          <w:rFonts w:ascii="Times New Roman" w:hAnsi="Times New Roman"/>
          <w:b w:val="false"/>
          <w:i/>
          <w:color w:val="000000"/>
          <w:sz w:val="22"/>
        </w:rPr>
        <w:t xml:space="preserve">Compensation for renewals involving replacement. </w:t>
      </w:r>
      <w:r>
        <w:rPr>
          <w:rFonts w:ascii="Times New Roman" w:hAnsi="Times New Roman"/>
          <w:b w:val="false"/>
          <w:i w:val="false"/>
          <w:color w:val="000000"/>
          <w:sz w:val="22"/>
        </w:rPr>
        <w:t>No issuer or other entity shall provide compensation to its producers and no producer shall receive compensation greater than the renewal compensation payable by the replacing issuer on renewal Medicare supplement policies or certificates if an existing Medicare supplement policy or certificate is replaced.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191—37.26</w:t>
      </w:r>
      <w:r>
        <w:rPr>
          <w:rFonts w:ascii="Times New Roman" w:hAnsi="Times New Roman"/>
          <w:b/>
          <w:i w:val="false"/>
          <w:color w:val="000000"/>
          <w:sz w:val="22"/>
        </w:rPr>
        <w:t xml:space="preserve">(514D) </w:t>
      </w:r>
      <w:r>
        <w:rPr>
          <w:rFonts w:ascii="Times New Roman" w:hAnsi="Times New Roman"/>
          <w:b/>
          <w:i w:val="false"/>
          <w:color w:val="000000"/>
          <w:sz w:val="22"/>
        </w:rPr>
        <w:t xml:space="preserve">Required notice regarding policies or certificates which are not Medicare supplement policies or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37.26(1)</w:t>
      </w:r>
      <w:r>
        <w:rPr>
          <w:rFonts w:ascii="Times New Roman" w:hAnsi="Times New Roman"/>
          <w:b w:val="false"/>
          <w:i w:val="false"/>
          <w:color w:val="000000"/>
          <w:sz w:val="22"/>
        </w:rPr>
        <w:t> </w:t>
      </w:r>
      <w:r>
        <w:rPr>
          <w:rFonts w:ascii="Times New Roman" w:hAnsi="Times New Roman"/>
          <w:b w:val="false"/>
          <w:i/>
          <w:color w:val="000000"/>
          <w:sz w:val="22"/>
        </w:rPr>
        <w:t xml:space="preserve">Issuer required to disclose that a policy is not a Medicare supplement policy. </w:t>
      </w:r>
      <w:r>
        <w:rPr>
          <w:rFonts w:ascii="Times New Roman" w:hAnsi="Times New Roman"/>
          <w:b w:val="false"/>
          <w:i w:val="false"/>
          <w:color w:val="000000"/>
          <w:sz w:val="22"/>
        </w:rPr>
        <w:t xml:space="preserve">An issuer of any accident and sickness insurance policy or certificate issued for delivery in this state to a person eligible for Medicare shall notify the insured under the policy that the policy is not a Medicare supplement policy or certificate, if the policy or certificate is not a Medicare supplement policy or certificate.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either be printed or attached to the first page of the outline of coverage delivered to the insured under the accident and sickness policy or, if no outline of coverage is delivered, to the first page of the policy or certificate delivered to the insured.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in no less than 12-point type and shall contain the following language:</w:t>
      </w:r>
    </w:p>
    <w:p>
      <w:pPr>
        <w:spacing w:before="0" w:after="0"/>
        <w:ind w:left="120"/>
        <w:jc w:val="both"/>
      </w:pPr>
      <w:r>
        <w:rPr>
          <w:rFonts w:ascii="Times New Roman" w:hAnsi="Times New Roman"/>
          <w:b w:val="false"/>
          <w:i w:val="false"/>
          <w:color w:val="000000"/>
          <w:sz w:val="22"/>
        </w:rPr>
        <w:t xml:space="preserve">“THIS [POLICY OR CERTIFICATE] IS NOT A MEDICARE SUPPLEMENT [POLICY OR CONTRACT]. If you are eligible for Medicare, review the [insert name of most recent version of </w:t>
      </w:r>
      <w:r>
        <w:rPr>
          <w:rFonts w:ascii="Times New Roman" w:hAnsi="Times New Roman"/>
          <w:b w:val="false"/>
          <w:i/>
          <w:color w:val="000000"/>
          <w:sz w:val="22"/>
        </w:rPr>
        <w:t>2019 Choosing a Medigap Policy: Guide to Health Insurance for People with Medicare</w:t>
      </w:r>
      <w:r>
        <w:rPr>
          <w:rFonts w:ascii="Times New Roman" w:hAnsi="Times New Roman"/>
          <w:b w:val="false"/>
          <w:i w:val="false"/>
          <w:color w:val="000000"/>
          <w:sz w:val="22"/>
        </w:rPr>
        <w:t>, issued by Centers for Medicare and Medicaid Services] available from the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requirement of this </w:t>
      </w:r>
      <w:hyperlink r:id="rId186">
        <w:r>
          <w:rPr>
            <w:rStyle w:val="Hyperlink"/>
            <w:rFonts w:ascii="Times New Roman" w:hAnsi="Times New Roman"/>
            <w:b w:val="false"/>
            <w:i w:val="false"/>
            <w:color w:val="000000"/>
            <w:sz w:val="22"/>
          </w:rPr>
          <w:t>subrule 37.26(1)</w:t>
        </w:r>
      </w:hyperlink>
      <w:r>
        <w:rPr>
          <w:rFonts w:ascii="Times New Roman" w:hAnsi="Times New Roman"/>
          <w:b w:val="false"/>
          <w:i w:val="false"/>
          <w:color w:val="000000"/>
          <w:sz w:val="22"/>
        </w:rPr>
        <w:t xml:space="preserve"> shall not apply to an accident and sickness insurance policy or certificate that is a Medicare supplement policy or certificate, a policy issued pursuant to a contract under </w:t>
      </w:r>
      <w:r>
        <w:rPr>
          <w:rFonts w:ascii="Times New Roman" w:hAnsi="Times New Roman"/>
          <w:b w:val="false"/>
          <w:i w:val="false"/>
          <w:color w:val="000000"/>
          <w:sz w:val="22"/>
        </w:rPr>
        <w:t>Section 1876 of the federal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w:t>
      </w:r>
      <w:r>
        <w:rPr>
          <w:rFonts w:ascii="Times New Roman" w:hAnsi="Times New Roman"/>
          <w:b w:val="false"/>
          <w:i w:val="false"/>
          <w:color w:val="000000"/>
          <w:sz w:val="22"/>
        </w:rPr>
        <w:t xml:space="preserve"> Section 1395 et seq.), a disability income policy, or any other policy excepted by rule </w:t>
      </w:r>
      <w:hyperlink r:id="rId187">
        <w:r>
          <w:rPr>
            <w:rStyle w:val="Hyperlink"/>
            <w:rFonts w:ascii="Times New Roman" w:hAnsi="Times New Roman"/>
            <w:b w:val="false"/>
            <w:i w:val="false"/>
            <w:color w:val="000000"/>
            <w:sz w:val="22"/>
          </w:rPr>
          <w:t>191—37.2</w:t>
        </w:r>
      </w:hyperlink>
      <w:r>
        <w:rPr>
          <w:rFonts w:ascii="Times New Roman" w:hAnsi="Times New Roman"/>
          <w:b w:val="false"/>
          <w:i w:val="false"/>
          <w:color w:val="000000"/>
          <w:sz w:val="22"/>
        </w:rPr>
        <w:t>(514D).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37.26(2)</w:t>
      </w:r>
      <w:r>
        <w:rPr>
          <w:rFonts w:ascii="Times New Roman" w:hAnsi="Times New Roman"/>
          <w:b w:val="false"/>
          <w:i w:val="false"/>
          <w:color w:val="000000"/>
          <w:sz w:val="22"/>
        </w:rPr>
        <w:t> </w:t>
      </w:r>
      <w:r>
        <w:rPr>
          <w:rFonts w:ascii="Times New Roman" w:hAnsi="Times New Roman"/>
          <w:b w:val="false"/>
          <w:i/>
          <w:color w:val="000000"/>
          <w:sz w:val="22"/>
        </w:rPr>
        <w:t xml:space="preserve">Issuer required to disclose extent of duplication of Medicare. </w:t>
      </w:r>
      <w:r>
        <w:rPr>
          <w:rFonts w:ascii="Times New Roman" w:hAnsi="Times New Roman"/>
          <w:b w:val="false"/>
          <w:i w:val="false"/>
          <w:color w:val="000000"/>
          <w:sz w:val="22"/>
        </w:rPr>
        <w:t xml:space="preserve">When providing an application to persons eligible for Medicare for the health insurance policies or certificates described in </w:t>
      </w:r>
      <w:hyperlink r:id="rId188">
        <w:r>
          <w:rPr>
            <w:rStyle w:val="Hyperlink"/>
            <w:rFonts w:ascii="Times New Roman" w:hAnsi="Times New Roman"/>
            <w:b w:val="false"/>
            <w:i w:val="false"/>
            <w:color w:val="000000"/>
            <w:sz w:val="22"/>
          </w:rPr>
          <w:t>subrule 37.26(1)</w:t>
        </w:r>
      </w:hyperlink>
      <w:r>
        <w:rPr>
          <w:rFonts w:ascii="Times New Roman" w:hAnsi="Times New Roman"/>
          <w:b w:val="false"/>
          <w:i w:val="false"/>
          <w:color w:val="000000"/>
          <w:sz w:val="22"/>
        </w:rPr>
        <w:t xml:space="preserve">, except for policies or certificates excluded by </w:t>
      </w:r>
      <w:hyperlink r:id="rId189">
        <w:r>
          <w:rPr>
            <w:rStyle w:val="Hyperlink"/>
            <w:rFonts w:ascii="Times New Roman" w:hAnsi="Times New Roman"/>
            <w:b w:val="false"/>
            <w:i w:val="false"/>
            <w:color w:val="000000"/>
            <w:sz w:val="22"/>
          </w:rPr>
          <w:t>paragraph 37.26(1)</w:t>
        </w:r>
      </w:hyperlink>
      <w:r>
        <w:rPr>
          <w:rFonts w:ascii="Times New Roman" w:hAnsi="Times New Roman"/>
          <w:b w:val="false"/>
          <w:i/>
          <w:color w:val="000000"/>
          <w:sz w:val="22"/>
        </w:rPr>
        <w:t>“c,”</w:t>
      </w:r>
      <w:r>
        <w:rPr>
          <w:rFonts w:ascii="Times New Roman" w:hAnsi="Times New Roman"/>
          <w:b w:val="false"/>
          <w:i w:val="false"/>
          <w:color w:val="000000"/>
          <w:sz w:val="22"/>
        </w:rPr>
        <w:t xml:space="preserve"> issuers shall disclose the extent to which a policy duplicates Medicare. The disclosure shall use the applicable statement in Appendix B and shall be provided as a part of, or together with, the application for the policy or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191—37.27</w:t>
      </w:r>
      <w:r>
        <w:rPr>
          <w:rFonts w:ascii="Times New Roman" w:hAnsi="Times New Roman"/>
          <w:b/>
          <w:i w:val="false"/>
          <w:color w:val="000000"/>
          <w:sz w:val="22"/>
        </w:rPr>
        <w:t xml:space="preserve">(514D) </w:t>
      </w:r>
      <w:r>
        <w:rPr>
          <w:rFonts w:ascii="Times New Roman" w:hAnsi="Times New Roman"/>
          <w:b/>
          <w:i w:val="false"/>
          <w:color w:val="000000"/>
          <w:sz w:val="22"/>
        </w:rPr>
        <w:t xml:space="preserve">Requirements for application forms and replacement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37.27(1)</w:t>
      </w:r>
      <w:r>
        <w:rPr>
          <w:rFonts w:ascii="Times New Roman" w:hAnsi="Times New Roman"/>
          <w:b w:val="false"/>
          <w:i w:val="false"/>
          <w:color w:val="000000"/>
          <w:sz w:val="22"/>
        </w:rPr>
        <w:t> </w:t>
      </w:r>
      <w:r>
        <w:rPr>
          <w:rFonts w:ascii="Times New Roman" w:hAnsi="Times New Roman"/>
          <w:b w:val="false"/>
          <w:i/>
          <w:color w:val="000000"/>
          <w:sz w:val="22"/>
        </w:rPr>
        <w:t xml:space="preserve">Application to include Appendix C. </w:t>
      </w:r>
      <w:r>
        <w:rPr>
          <w:rFonts w:ascii="Times New Roman" w:hAnsi="Times New Roman"/>
          <w:b w:val="false"/>
          <w:i w:val="false"/>
          <w:color w:val="000000"/>
          <w:sz w:val="22"/>
        </w:rPr>
        <w:t>Application forms for Medicare supplement policies or certificates shall include in the outline of coverage the “statements and questions for application forms related to duplicate or replacement coverage” set forth in Appendix C, in the order prescribed in Appendix C, designed to elicit the following information, as of the date of the application: whether the applicant currently has a Medicare supplement policy or certificate, a Medicare Advantage policy or certificate, or other Medicaid coverage; whether the applicant has another health insurance policy or certificate in force; or whether the applicant intends a Medicare supplement policy or certificate to replace any other accident and sickness policy or certificate presently in force. An additional page or form containing such questions and statements and the applicant’s responses may be used, but it must be signed by the applicant and producer, attached to the application, and kept together with the issuer’s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37.27(2)</w:t>
      </w:r>
      <w:r>
        <w:rPr>
          <w:rFonts w:ascii="Times New Roman" w:hAnsi="Times New Roman"/>
          <w:b w:val="false"/>
          <w:i w:val="false"/>
          <w:color w:val="000000"/>
          <w:sz w:val="22"/>
        </w:rPr>
        <w:t> </w:t>
      </w:r>
      <w:r>
        <w:rPr>
          <w:rFonts w:ascii="Times New Roman" w:hAnsi="Times New Roman"/>
          <w:b w:val="false"/>
          <w:i/>
          <w:color w:val="000000"/>
          <w:sz w:val="22"/>
        </w:rPr>
        <w:t xml:space="preserve">List of policies sold to applicant. </w:t>
      </w:r>
      <w:r>
        <w:rPr>
          <w:rFonts w:ascii="Times New Roman" w:hAnsi="Times New Roman"/>
          <w:b w:val="false"/>
          <w:i w:val="false"/>
          <w:color w:val="000000"/>
          <w:sz w:val="22"/>
        </w:rPr>
        <w:t>Producers shall list on the form or on an attachment to the form of Appendix C any other health insurance policies they have sold to the applicant,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Policies sold which are still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Policies sold in the prior five years which are no longer in 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37.27(3)</w:t>
      </w:r>
      <w:r>
        <w:rPr>
          <w:rFonts w:ascii="Times New Roman" w:hAnsi="Times New Roman"/>
          <w:b w:val="false"/>
          <w:i w:val="false"/>
          <w:color w:val="000000"/>
          <w:sz w:val="22"/>
        </w:rPr>
        <w:t> </w:t>
      </w:r>
      <w:r>
        <w:rPr>
          <w:rFonts w:ascii="Times New Roman" w:hAnsi="Times New Roman"/>
          <w:b w:val="false"/>
          <w:i/>
          <w:color w:val="000000"/>
          <w:sz w:val="22"/>
        </w:rPr>
        <w:t xml:space="preserve">Direct response sales. </w:t>
      </w:r>
      <w:r>
        <w:rPr>
          <w:rFonts w:ascii="Times New Roman" w:hAnsi="Times New Roman"/>
          <w:b w:val="false"/>
          <w:i w:val="false"/>
          <w:color w:val="000000"/>
          <w:sz w:val="22"/>
        </w:rPr>
        <w:t xml:space="preserve">In the case of a direct response issuer, a copy of the application or additional page or form, signed by the applicant and acknowledged by the issuer, shall be returned to the applicant by the issuer upon delivery of the policy and shall include the notice regarding replacement of Medicare supplement coverage required of direct response issuers by </w:t>
      </w:r>
      <w:hyperlink r:id="rId190">
        <w:r>
          <w:rPr>
            <w:rStyle w:val="Hyperlink"/>
            <w:rFonts w:ascii="Times New Roman" w:hAnsi="Times New Roman"/>
            <w:b w:val="false"/>
            <w:i w:val="false"/>
            <w:color w:val="000000"/>
            <w:sz w:val="22"/>
          </w:rPr>
          <w:t>subrule 37.27(4)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37.27(4)</w:t>
      </w:r>
      <w:r>
        <w:rPr>
          <w:rFonts w:ascii="Times New Roman" w:hAnsi="Times New Roman"/>
          <w:b w:val="false"/>
          <w:i w:val="false"/>
          <w:color w:val="000000"/>
          <w:sz w:val="22"/>
        </w:rPr>
        <w:t> </w:t>
      </w:r>
      <w:r>
        <w:rPr>
          <w:rFonts w:ascii="Times New Roman" w:hAnsi="Times New Roman"/>
          <w:b w:val="false"/>
          <w:i/>
          <w:color w:val="000000"/>
          <w:sz w:val="22"/>
        </w:rPr>
        <w:t xml:space="preserve">Required notice regarding replacement. </w:t>
      </w:r>
      <w:r>
        <w:rPr>
          <w:rFonts w:ascii="Times New Roman" w:hAnsi="Times New Roman"/>
          <w:b w:val="false"/>
          <w:i w:val="false"/>
          <w:color w:val="000000"/>
          <w:sz w:val="22"/>
        </w:rPr>
        <w:t xml:space="preserve">Upon determining that a sale will involve replacement of Medicare supplement coverage, any issuer, other than a direct response issuer, or its producer, shall furnish the applicant, prior to issuance or delivery of the Medicare supplement policy or certificate, a notice regarding replacement of Medicare supplement coverage. The notice shall be provided in the format described in </w:t>
      </w:r>
      <w:hyperlink r:id="rId191">
        <w:r>
          <w:rPr>
            <w:rStyle w:val="Hyperlink"/>
            <w:rFonts w:ascii="Times New Roman" w:hAnsi="Times New Roman"/>
            <w:b w:val="false"/>
            <w:i w:val="false"/>
            <w:color w:val="000000"/>
            <w:sz w:val="22"/>
          </w:rPr>
          <w:t>subrule 37.27(5)</w:t>
        </w:r>
      </w:hyperlink>
      <w:r>
        <w:rPr>
          <w:rFonts w:ascii="Times New Roman" w:hAnsi="Times New Roman"/>
          <w:b w:val="false"/>
          <w:i w:val="false"/>
          <w:color w:val="000000"/>
          <w:sz w:val="22"/>
        </w:rPr>
        <w:t>. One copy of such notice signed by the applicant and the producer, except where the coverage is sold without a producer, shall be provided to the applicant, and an additional signed copy shall be retained by the issuer. A direct response issuer shall deliver to the applicant at the time of the issuance of the policy the notice regarding replacement of Medicare supplement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37.27(5)</w:t>
      </w:r>
      <w:r>
        <w:rPr>
          <w:rFonts w:ascii="Times New Roman" w:hAnsi="Times New Roman"/>
          <w:b w:val="false"/>
          <w:i w:val="false"/>
          <w:color w:val="000000"/>
          <w:sz w:val="22"/>
        </w:rPr>
        <w:t> </w:t>
      </w:r>
      <w:r>
        <w:rPr>
          <w:rFonts w:ascii="Times New Roman" w:hAnsi="Times New Roman"/>
          <w:b w:val="false"/>
          <w:i/>
          <w:color w:val="000000"/>
          <w:sz w:val="22"/>
        </w:rPr>
        <w:t xml:space="preserve">Required format of notice regarding replacement. </w:t>
      </w:r>
      <w:r>
        <w:rPr>
          <w:rFonts w:ascii="Times New Roman" w:hAnsi="Times New Roman"/>
          <w:b w:val="false"/>
          <w:i w:val="false"/>
          <w:color w:val="000000"/>
          <w:sz w:val="22"/>
        </w:rPr>
        <w:t xml:space="preserve">The notice required by </w:t>
      </w:r>
      <w:hyperlink r:id="rId192">
        <w:r>
          <w:rPr>
            <w:rStyle w:val="Hyperlink"/>
            <w:rFonts w:ascii="Times New Roman" w:hAnsi="Times New Roman"/>
            <w:b w:val="false"/>
            <w:i w:val="false"/>
            <w:color w:val="000000"/>
            <w:sz w:val="22"/>
          </w:rPr>
          <w:t>subrule 37.27(4)</w:t>
        </w:r>
      </w:hyperlink>
      <w:r>
        <w:rPr>
          <w:rFonts w:ascii="Times New Roman" w:hAnsi="Times New Roman"/>
          <w:b w:val="false"/>
          <w:i w:val="false"/>
          <w:color w:val="000000"/>
          <w:sz w:val="22"/>
        </w:rPr>
        <w:t xml:space="preserve"> for an issuer shall be provided in substantially the form and language of the Notice to Applicant regarding Replacement of Medicare Supplement Insurance or Medicare Advantage, as set forth in Appendix D, in no less than 12-point type. Statements 1 and 2 of the replacement notice of Appendix D (applicable to preexisting conditions) may be deleted by an issuer if the replacement does not involve application of a new preexisting condition limitation.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191—37.28</w:t>
      </w:r>
      <w:r>
        <w:rPr>
          <w:rFonts w:ascii="Times New Roman" w:hAnsi="Times New Roman"/>
          <w:b/>
          <w:i w:val="false"/>
          <w:color w:val="000000"/>
          <w:sz w:val="22"/>
        </w:rPr>
        <w:t xml:space="preserve">(514D) </w:t>
      </w:r>
      <w:r>
        <w:rPr>
          <w:rFonts w:ascii="Times New Roman" w:hAnsi="Times New Roman"/>
          <w:b/>
          <w:i w:val="false"/>
          <w:color w:val="000000"/>
          <w:sz w:val="22"/>
        </w:rPr>
        <w:t xml:space="preserve">Required disclosure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37.28(1)</w:t>
      </w:r>
      <w:r>
        <w:rPr>
          <w:rFonts w:ascii="Times New Roman" w:hAnsi="Times New Roman"/>
          <w:b w:val="false"/>
          <w:i w:val="false"/>
          <w:color w:val="000000"/>
          <w:sz w:val="22"/>
        </w:rPr>
        <w:t> </w:t>
      </w:r>
      <w:r>
        <w:rPr>
          <w:rFonts w:ascii="Times New Roman" w:hAnsi="Times New Roman"/>
          <w:b w:val="false"/>
          <w:i/>
          <w:color w:val="000000"/>
          <w:sz w:val="22"/>
        </w:rPr>
        <w:t xml:space="preserve">General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Medicare supplement policy or certificate shall include renewal or continuation provisions. The language or specifications of such provisions shall be consistent with the type of Medicare supplement policy issued. Such provisions shall be appropriately captioned and shall appear on the first page of the Medicare supplement policy or certificate, and shall include any reservations by the issuer of the right to change premiums and any automatic renewal premium increases based on the covered individual’s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for a rider or an endorsement by which the issuer effectuates a request made in writing by the covered individual, exercises a specifically reserved right under a Medicare supplement policy or certificate, or is required to reduce or eliminate benefits to avoid duplication of Medicare benefits, any rider or endorsement added to a Medicare supplement policy or certificate after the date the policy or certificate is issued, or at reinstatement or renewal, which reduces or eliminates benefits or coverage in the policy or certificate shall require a signed acceptance by the covered individual. After the date of issue of a Medicare supplement policy or certificate, any rider or endorsement which increases benefits or coverage with a concomitant increase in premium during the policy term shall be agreed to in writing signed by the covered individual, unless the benefits are required by the minimum standards for Medicare supplement policies or certificates, or if the increased benefits or coverage is required by law. Where a separate additional premium is charged for benefits provided in connection with a rider or endorsement, such premium charge shall be set forth in the Medicare supplement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supplement policies or certificates shall not provide for the payment of benefits based on standards described as “usual and customary,” “reasonable and customary” or words of similar import.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 Medicare supplement policy or certificate contains any limitations with respect to preexisting conditions, such limitations shall appear as a separate paragraph of the Medicare supplement policy or certificate and be labeled as “Preexisting Condition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Medicare supplement policy or certificate shall have a notice prominently printed on the first page of the policy or certificate, or attached thereto, stating in substance that the covered individual shall have the right to return the Medicare supplement policy or certificate within 30 days of its delivery and to have the premium refunded if, after examination of the Medicare supplement policy or certificate, the covered individual is not satisfied for any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 issuer of an accident or sickness policy or certificate which provides hospital or medical expense coverage on an expense-incurred or indemnity basis to an individual eligible for Medicare shall provide to any applicant for such policy or certificate the most recent version of </w:t>
      </w:r>
      <w:r>
        <w:rPr>
          <w:rFonts w:ascii="Times New Roman" w:hAnsi="Times New Roman"/>
          <w:b w:val="false"/>
          <w:i/>
          <w:color w:val="000000"/>
          <w:sz w:val="22"/>
        </w:rPr>
        <w:t>Choosing a Medigap Policy: Guide to Health Insurance for People with Medicare</w:t>
      </w:r>
      <w:r>
        <w:rPr>
          <w:rFonts w:ascii="Times New Roman" w:hAnsi="Times New Roman"/>
          <w:b w:val="false"/>
          <w:i w:val="false"/>
          <w:color w:val="000000"/>
          <w:sz w:val="22"/>
        </w:rPr>
        <w:t>, issued by Centers for Medicare and Medicaid Services (“guide”), developed jointly by the National Association of Insurance Commissioners and CMS, using the same language, format, type size (no less than 12 point), type-proportional spacing, bold characters and line spacing. Delivery of the guide shall be made whether or not such policy or certificate was advertised, solicited or issued as a Medicare supplement policy or certificate as defined in this chapter. Except in the case of a direct response issuer, delivery of the guide shall be made to the applicant at the time of application and acknowledgment of receipt of the guide shall be obtained by the issuer. A direct response issuer shall deliver the guide to the applicant upon request but not later than at the time the Medicare supplement policy is delivered.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37.28(2)</w:t>
      </w:r>
      <w:r>
        <w:rPr>
          <w:rFonts w:ascii="Times New Roman" w:hAnsi="Times New Roman"/>
          <w:b w:val="false"/>
          <w:i w:val="false"/>
          <w:color w:val="000000"/>
          <w:sz w:val="22"/>
        </w:rPr>
        <w:t> </w:t>
      </w:r>
      <w:r>
        <w:rPr>
          <w:rFonts w:ascii="Times New Roman" w:hAnsi="Times New Roman"/>
          <w:b w:val="false"/>
          <w:i/>
          <w:color w:val="000000"/>
          <w:sz w:val="22"/>
        </w:rPr>
        <w:t xml:space="preserve">Notice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 soon as practicable, but no later than 30 days prior to the annual effective date of any Medicare benefit changes, an issuer shall notify its covered individuals of modifications it has made to Medicare supplement policies or certificates in a format acceptable to the commissioner. The notice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revisions to the Medicare program and a description of each modification made to the coverage provided under the Medicare supplement policy or certificate;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 each covered individual as to when any premium adjustment is to be made due to changes in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of benefit modifications and any premium adjustments shall be in outline form and in clear and simple terms so as to facilitate comprehension.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notices shall not contain or be accompanied by any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37.28(3)</w:t>
      </w:r>
      <w:r>
        <w:rPr>
          <w:rFonts w:ascii="Times New Roman" w:hAnsi="Times New Roman"/>
          <w:b w:val="false"/>
          <w:i w:val="false"/>
          <w:color w:val="000000"/>
          <w:sz w:val="22"/>
        </w:rPr>
        <w:t> </w:t>
      </w:r>
      <w:r>
        <w:rPr>
          <w:rFonts w:ascii="Times New Roman" w:hAnsi="Times New Roman"/>
          <w:b w:val="false"/>
          <w:i/>
          <w:color w:val="000000"/>
          <w:sz w:val="22"/>
        </w:rPr>
        <w:t xml:space="preserve">MMA notice requirements. </w:t>
      </w:r>
      <w:r>
        <w:rPr>
          <w:rFonts w:ascii="Times New Roman" w:hAnsi="Times New Roman"/>
          <w:b w:val="false"/>
          <w:i w:val="false"/>
          <w:color w:val="000000"/>
          <w:sz w:val="22"/>
        </w:rPr>
        <w:t>Issuers shall comply with any notice requirements of the MMA.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37.28(4)</w:t>
      </w:r>
      <w:r>
        <w:rPr>
          <w:rFonts w:ascii="Times New Roman" w:hAnsi="Times New Roman"/>
          <w:b w:val="false"/>
          <w:i w:val="false"/>
          <w:color w:val="000000"/>
          <w:sz w:val="22"/>
        </w:rPr>
        <w:t> </w:t>
      </w:r>
      <w:r>
        <w:rPr>
          <w:rFonts w:ascii="Times New Roman" w:hAnsi="Times New Roman"/>
          <w:b w:val="false"/>
          <w:i/>
          <w:color w:val="000000"/>
          <w:sz w:val="22"/>
        </w:rPr>
        <w:t xml:space="preserve">Outline of coverage requirements for Medicare supplement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issuer shall provide an outline of coverage to any applicant for a Medicare supplement policy or certificate at the time application is presented to the prospective applicant and, except for a direct response policy, shall obtain an acknowledgment of receipt of such outline of coverage from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outline of coverage is provided at the time of application and the Medicare supplement policy or certificate is issued on a basis which would require revision of the outline, the issuer shall provide a substitute outline of coverage properly describing the Medicare supplement policy or certificate to accompany such Medicare supplement policy or certificate when it is delivered to the covered individual, and the substitute outline of coverage shall contain the following statement, in no less than 12-point type, immediately above the issuer’s company name:</w:t>
      </w:r>
    </w:p>
    <w:p>
      <w:pPr>
        <w:spacing w:before="0" w:after="0"/>
        <w:ind w:left="120"/>
        <w:jc w:val="both"/>
      </w:pPr>
      <w:r>
        <w:rPr>
          <w:rFonts w:ascii="Times New Roman" w:hAnsi="Times New Roman"/>
          <w:b/>
          <w:i w:val="false"/>
          <w:color w:val="000000"/>
          <w:sz w:val="22"/>
        </w:rPr>
        <w:t>“NOTICE: Read this outline of coverage carefully. It is not identical to the outline of coverage provided upon application and the coverage originally applied for has not been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outline of coverage provided to an applicant pursuant to this rule shall consist of the following four parts: a cover page; premium information; disclosure pages; and charts displaying the features of each Medicare supplement benefit plan offered by the issuer. The outline of coverage shall be in the language and format prescribed in this rule and in Appendix E in no less than 12-point type. All plans shall be shown on the cover page, and the plans that are offered by the issuer shall be prominently identified. Premium information for plans that are offered by the issuer shall be shown on the cover page or immediately following the cover page and shall be prominently displayed. The premium and mode shall be stated for all plans that are offered to the prospective applicant. All possible premiums for the prospective applicant shall be illustrated.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items in Appendix E shall be included in the outline of coverage in the order prescribed in Appendix 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191—37.29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191—37.30</w:t>
      </w:r>
      <w:r>
        <w:rPr>
          <w:rFonts w:ascii="Times New Roman" w:hAnsi="Times New Roman"/>
          <w:b/>
          <w:i w:val="false"/>
          <w:color w:val="000000"/>
          <w:sz w:val="22"/>
        </w:rPr>
        <w:t xml:space="preserve">(514D) </w:t>
      </w:r>
      <w:r>
        <w:rPr>
          <w:rFonts w:ascii="Times New Roman" w:hAnsi="Times New Roman"/>
          <w:b/>
          <w:i w:val="false"/>
          <w:color w:val="000000"/>
          <w:sz w:val="22"/>
        </w:rPr>
        <w:t xml:space="preserve">Standards for marketing.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37.30(1)</w:t>
      </w:r>
      <w:r>
        <w:rPr>
          <w:rFonts w:ascii="Times New Roman" w:hAnsi="Times New Roman"/>
          <w:b w:val="false"/>
          <w:i w:val="false"/>
          <w:color w:val="000000"/>
          <w:sz w:val="22"/>
        </w:rPr>
        <w:t> </w:t>
      </w:r>
      <w:r>
        <w:rPr>
          <w:rFonts w:ascii="Times New Roman" w:hAnsi="Times New Roman"/>
          <w:b w:val="false"/>
          <w:i/>
          <w:color w:val="000000"/>
          <w:sz w:val="22"/>
        </w:rPr>
        <w:t xml:space="preserve">Requirements for marketing. </w:t>
      </w:r>
      <w:r>
        <w:rPr>
          <w:rFonts w:ascii="Times New Roman" w:hAnsi="Times New Roman"/>
          <w:b w:val="false"/>
          <w:i w:val="false"/>
          <w:color w:val="000000"/>
          <w:sz w:val="22"/>
        </w:rPr>
        <w:t>An issuer, directly or through its producers,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marketing procedures to ensure that any comparison of policies or certificates by its producers will be fair and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marketing procedures to ensure excessive insurance is not sold or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Display prominently by type, stamp or other appropriate means, on the first page of the policy or certificate, the following:</w:t>
      </w:r>
    </w:p>
    <w:p>
      <w:pPr>
        <w:spacing w:before="0" w:after="0"/>
        <w:ind w:left="120"/>
        <w:jc w:val="both"/>
      </w:pPr>
      <w:r>
        <w:rPr>
          <w:rFonts w:ascii="Times New Roman" w:hAnsi="Times New Roman"/>
          <w:b w:val="false"/>
          <w:i w:val="false"/>
          <w:color w:val="000000"/>
          <w:sz w:val="22"/>
        </w:rPr>
        <w:t>“</w:t>
      </w:r>
      <w:r>
        <w:rPr>
          <w:rFonts w:ascii="Times New Roman" w:hAnsi="Times New Roman"/>
          <w:b/>
          <w:i w:val="false"/>
          <w:color w:val="000000"/>
          <w:sz w:val="22"/>
        </w:rPr>
        <w:t>Notice to buyer: This policy may not cover all of your medical expenses.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Inquire and otherwise make every reasonable effort to identify whether a prospective covered individual for Medicare supplement policy or certificate already has accident and sickness insurance and the types and amounts of any such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Establish auditable procedures for certifying compliance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solicitation, provide written notice to the prospective covered individual of the name, address, and telephone number of the senior health insurance information program, part of the insurance division. The written notice shall be in a form prescribed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37.30(2)</w:t>
      </w:r>
      <w:r>
        <w:rPr>
          <w:rFonts w:ascii="Times New Roman" w:hAnsi="Times New Roman"/>
          <w:b w:val="false"/>
          <w:i w:val="false"/>
          <w:color w:val="000000"/>
          <w:sz w:val="22"/>
        </w:rPr>
        <w:t> </w:t>
      </w:r>
      <w:r>
        <w:rPr>
          <w:rFonts w:ascii="Times New Roman" w:hAnsi="Times New Roman"/>
          <w:b w:val="false"/>
          <w:i/>
          <w:color w:val="000000"/>
          <w:sz w:val="22"/>
        </w:rPr>
        <w:t xml:space="preserve">Prohibitions in marketing. </w:t>
      </w:r>
      <w:r>
        <w:rPr>
          <w:rFonts w:ascii="Times New Roman" w:hAnsi="Times New Roman"/>
          <w:b w:val="false"/>
          <w:i w:val="false"/>
          <w:color w:val="000000"/>
          <w:sz w:val="22"/>
        </w:rPr>
        <w:t xml:space="preserve">In addition to the practices prohibited in Iowa Code chapter </w:t>
      </w:r>
      <w:hyperlink r:id="rId193">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w:t>
      </w:r>
      <w:hyperlink r:id="rId194">
        <w:r>
          <w:rPr>
            <w:rStyle w:val="Hyperlink"/>
            <w:rFonts w:ascii="Times New Roman" w:hAnsi="Times New Roman"/>
            <w:b w:val="false"/>
            <w:i w:val="false"/>
            <w:color w:val="000000"/>
            <w:sz w:val="22"/>
          </w:rPr>
          <w:t>191—Chapter 15</w:t>
        </w:r>
      </w:hyperlink>
      <w:r>
        <w:rPr>
          <w:rFonts w:ascii="Times New Roman" w:hAnsi="Times New Roman"/>
          <w:b w:val="false"/>
          <w:i w:val="false"/>
          <w:color w:val="000000"/>
          <w:sz w:val="22"/>
        </w:rPr>
        <w:t xml:space="preserve"> and other rules promulgated under Iowa Code chapter </w:t>
      </w:r>
      <w:hyperlink r:id="rId19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rule </w:t>
      </w:r>
      <w:hyperlink r:id="rId196">
        <w:r>
          <w:rPr>
            <w:rStyle w:val="Hyperlink"/>
            <w:rFonts w:ascii="Times New Roman" w:hAnsi="Times New Roman"/>
            <w:b w:val="false"/>
            <w:i w:val="false"/>
            <w:color w:val="000000"/>
            <w:sz w:val="22"/>
          </w:rPr>
          <w:t>191—37.50</w:t>
        </w:r>
      </w:hyperlink>
      <w:r>
        <w:rPr>
          <w:rFonts w:ascii="Times New Roman" w:hAnsi="Times New Roman"/>
          <w:b w:val="false"/>
          <w:i w:val="false"/>
          <w:color w:val="000000"/>
          <w:sz w:val="22"/>
        </w:rPr>
        <w:t>(514D), the following acts and practices are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Twisting. </w:t>
      </w:r>
      <w:r>
        <w:rPr>
          <w:rFonts w:ascii="Times New Roman" w:hAnsi="Times New Roman"/>
          <w:b w:val="false"/>
          <w:i w:val="false"/>
          <w:color w:val="000000"/>
          <w:sz w:val="22"/>
        </w:rPr>
        <w:t>Knowingly making any misleading representation or incomplete or fraudulent comparison of any insurance policies or certificates, or of any issuers, for the purpose of inducing, or tending to induce, any person to lapse, forfeit, surrender, terminate, retain, pledge, assign, borrow on, or convert any insurance policy or certificate or to take out a policy or certificate of insurance with another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High-pressure tactics. </w:t>
      </w:r>
      <w:r>
        <w:rPr>
          <w:rFonts w:ascii="Times New Roman" w:hAnsi="Times New Roman"/>
          <w:b w:val="false"/>
          <w:i w:val="false"/>
          <w:color w:val="000000"/>
          <w:sz w:val="22"/>
        </w:rPr>
        <w:t>Employing any method of marketing having the effect of or tending to induce the purchase of insurance through force, fright, threat, whether explicit or implied, or undue pressure to purchase or recommend the purchase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Cold-lead advertising. </w:t>
      </w:r>
      <w:r>
        <w:rPr>
          <w:rFonts w:ascii="Times New Roman" w:hAnsi="Times New Roman"/>
          <w:b w:val="false"/>
          <w:i w:val="false"/>
          <w:color w:val="000000"/>
          <w:sz w:val="22"/>
        </w:rPr>
        <w:t>Making use directly or indirectly of any method of marketing which fails to disclose in a conspicuous manner that a purpose of the method of marketing is solicitation of insurance and that contact will be made by an insurance producer or insurance company.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37.30(3)</w:t>
      </w:r>
      <w:r>
        <w:rPr>
          <w:rFonts w:ascii="Times New Roman" w:hAnsi="Times New Roman"/>
          <w:b w:val="false"/>
          <w:i w:val="false"/>
          <w:color w:val="000000"/>
          <w:sz w:val="22"/>
        </w:rPr>
        <w:t> </w:t>
      </w:r>
      <w:r>
        <w:rPr>
          <w:rFonts w:ascii="Times New Roman" w:hAnsi="Times New Roman"/>
          <w:b w:val="false"/>
          <w:i/>
          <w:color w:val="000000"/>
          <w:sz w:val="22"/>
        </w:rPr>
        <w:t xml:space="preserve">Prohibited terms in noncompliant policies or certificates. </w:t>
      </w:r>
      <w:r>
        <w:rPr>
          <w:rFonts w:ascii="Times New Roman" w:hAnsi="Times New Roman"/>
          <w:b w:val="false"/>
          <w:i w:val="false"/>
          <w:color w:val="000000"/>
          <w:sz w:val="22"/>
        </w:rPr>
        <w:t>The terms “Medicare supplement,” “Medigap,” “Medicare wrap-around” and words of similar import shall not be used unless the policy or certificate is issued in compliance with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191—37.31</w:t>
      </w:r>
      <w:r>
        <w:rPr>
          <w:rFonts w:ascii="Times New Roman" w:hAnsi="Times New Roman"/>
          <w:b/>
          <w:i w:val="false"/>
          <w:color w:val="000000"/>
          <w:sz w:val="22"/>
        </w:rPr>
        <w:t xml:space="preserve">(514D) </w:t>
      </w:r>
      <w:r>
        <w:rPr>
          <w:rFonts w:ascii="Times New Roman" w:hAnsi="Times New Roman"/>
          <w:b/>
          <w:i w:val="false"/>
          <w:color w:val="000000"/>
          <w:sz w:val="22"/>
        </w:rPr>
        <w:t xml:space="preserve">Appropriateness of recommended purchase and excessive insurance.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37.31(1)</w:t>
      </w:r>
      <w:r>
        <w:rPr>
          <w:rFonts w:ascii="Times New Roman" w:hAnsi="Times New Roman"/>
          <w:b w:val="false"/>
          <w:i w:val="false"/>
          <w:color w:val="000000"/>
          <w:sz w:val="22"/>
        </w:rPr>
        <w:t> </w:t>
      </w:r>
      <w:r>
        <w:rPr>
          <w:rFonts w:ascii="Times New Roman" w:hAnsi="Times New Roman"/>
          <w:b w:val="false"/>
          <w:i/>
          <w:color w:val="000000"/>
          <w:sz w:val="22"/>
        </w:rPr>
        <w:t xml:space="preserve">Appropriateness. </w:t>
      </w:r>
      <w:r>
        <w:rPr>
          <w:rFonts w:ascii="Times New Roman" w:hAnsi="Times New Roman"/>
          <w:b w:val="false"/>
          <w:i w:val="false"/>
          <w:color w:val="000000"/>
          <w:sz w:val="22"/>
        </w:rPr>
        <w:t>In recommending the purchase or replacement of any Medicare supplement policy or certificate, a producer shall make reasonable efforts to determine the appropriateness of a recommended purchase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37.31(2)</w:t>
      </w:r>
      <w:r>
        <w:rPr>
          <w:rFonts w:ascii="Times New Roman" w:hAnsi="Times New Roman"/>
          <w:b w:val="false"/>
          <w:i w:val="false"/>
          <w:color w:val="000000"/>
          <w:sz w:val="22"/>
        </w:rPr>
        <w:t> </w:t>
      </w:r>
      <w:r>
        <w:rPr>
          <w:rFonts w:ascii="Times New Roman" w:hAnsi="Times New Roman"/>
          <w:b w:val="false"/>
          <w:i/>
          <w:color w:val="000000"/>
          <w:sz w:val="22"/>
        </w:rPr>
        <w:t xml:space="preserve">No duplication. </w:t>
      </w:r>
      <w:r>
        <w:rPr>
          <w:rFonts w:ascii="Times New Roman" w:hAnsi="Times New Roman"/>
          <w:b w:val="false"/>
          <w:i w:val="false"/>
          <w:color w:val="000000"/>
          <w:sz w:val="22"/>
        </w:rPr>
        <w:t>Any sale of a Medicare supplement policy or certificate that will provide an individual more than one Medicare supplement policy or certificate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37.31(3)</w:t>
      </w:r>
      <w:r>
        <w:rPr>
          <w:rFonts w:ascii="Times New Roman" w:hAnsi="Times New Roman"/>
          <w:b w:val="false"/>
          <w:i w:val="false"/>
          <w:color w:val="000000"/>
          <w:sz w:val="22"/>
        </w:rPr>
        <w:t> </w:t>
      </w:r>
      <w:r>
        <w:rPr>
          <w:rFonts w:ascii="Times New Roman" w:hAnsi="Times New Roman"/>
          <w:b w:val="false"/>
          <w:i/>
          <w:color w:val="000000"/>
          <w:sz w:val="22"/>
        </w:rPr>
        <w:t xml:space="preserve">No Medicare supplement for enrollee in Part C. </w:t>
      </w:r>
      <w:r>
        <w:rPr>
          <w:rFonts w:ascii="Times New Roman" w:hAnsi="Times New Roman"/>
          <w:b w:val="false"/>
          <w:i w:val="false"/>
          <w:color w:val="000000"/>
          <w:sz w:val="22"/>
        </w:rPr>
        <w:t>An issuer shall not issue a Medicare supplement policy or certificate to an individual enrolled in Medicare Part C unless the effective date of the coverage is after the termination date of the individual’s Medicare Part C coverage.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191—37.32</w:t>
      </w:r>
      <w:r>
        <w:rPr>
          <w:rFonts w:ascii="Times New Roman" w:hAnsi="Times New Roman"/>
          <w:b/>
          <w:i w:val="false"/>
          <w:color w:val="000000"/>
          <w:sz w:val="22"/>
        </w:rPr>
        <w:t xml:space="preserve">(514D) </w:t>
      </w:r>
      <w:r>
        <w:rPr>
          <w:rFonts w:ascii="Times New Roman" w:hAnsi="Times New Roman"/>
          <w:b/>
          <w:i w:val="false"/>
          <w:color w:val="000000"/>
          <w:sz w:val="22"/>
        </w:rPr>
        <w:t xml:space="preserve">Reporting of multiple policies.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37.32(1)</w:t>
      </w:r>
      <w:r>
        <w:rPr>
          <w:rFonts w:ascii="Times New Roman" w:hAnsi="Times New Roman"/>
          <w:b w:val="false"/>
          <w:i w:val="false"/>
          <w:color w:val="000000"/>
          <w:sz w:val="22"/>
        </w:rPr>
        <w:t> </w:t>
      </w:r>
      <w:r>
        <w:rPr>
          <w:rFonts w:ascii="Times New Roman" w:hAnsi="Times New Roman"/>
          <w:b w:val="false"/>
          <w:i/>
          <w:color w:val="000000"/>
          <w:sz w:val="22"/>
        </w:rPr>
        <w:t xml:space="preserve">Report of in-force Medicare supplement covered individuals. </w:t>
      </w:r>
      <w:r>
        <w:rPr>
          <w:rFonts w:ascii="Times New Roman" w:hAnsi="Times New Roman"/>
          <w:b w:val="false"/>
          <w:i w:val="false"/>
          <w:color w:val="000000"/>
          <w:sz w:val="22"/>
        </w:rPr>
        <w:t>On or before March 1 of each year, an issuer shall report, using the format of Appendix F, the following information for every covered individual resident of this state for which the issuer has in force more than one Medicare supplement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Policy and certificate number;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37.32(2)</w:t>
      </w:r>
      <w:r>
        <w:rPr>
          <w:rFonts w:ascii="Times New Roman" w:hAnsi="Times New Roman"/>
          <w:b w:val="false"/>
          <w:i w:val="false"/>
          <w:color w:val="000000"/>
          <w:sz w:val="22"/>
        </w:rPr>
        <w:t> </w:t>
      </w:r>
      <w:r>
        <w:rPr>
          <w:rFonts w:ascii="Times New Roman" w:hAnsi="Times New Roman"/>
          <w:b w:val="false"/>
          <w:i/>
          <w:color w:val="000000"/>
          <w:sz w:val="22"/>
        </w:rPr>
        <w:t xml:space="preserve">Grouping of items. </w:t>
      </w:r>
      <w:r>
        <w:rPr>
          <w:rFonts w:ascii="Times New Roman" w:hAnsi="Times New Roman"/>
          <w:b w:val="false"/>
          <w:i w:val="false"/>
          <w:color w:val="000000"/>
          <w:sz w:val="22"/>
        </w:rPr>
        <w:t xml:space="preserve">The items set forth in </w:t>
      </w:r>
      <w:hyperlink r:id="rId197">
        <w:r>
          <w:rPr>
            <w:rStyle w:val="Hyperlink"/>
            <w:rFonts w:ascii="Times New Roman" w:hAnsi="Times New Roman"/>
            <w:b w:val="false"/>
            <w:i w:val="false"/>
            <w:color w:val="000000"/>
            <w:sz w:val="22"/>
          </w:rPr>
          <w:t>subrule 37.21(1)</w:t>
        </w:r>
      </w:hyperlink>
      <w:r>
        <w:rPr>
          <w:rFonts w:ascii="Times New Roman" w:hAnsi="Times New Roman"/>
          <w:b w:val="false"/>
          <w:i w:val="false"/>
          <w:color w:val="000000"/>
          <w:sz w:val="22"/>
        </w:rPr>
        <w:t xml:space="preserve"> must be grouped by covered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191—37.33</w:t>
      </w:r>
      <w:r>
        <w:rPr>
          <w:rFonts w:ascii="Times New Roman" w:hAnsi="Times New Roman"/>
          <w:b/>
          <w:i w:val="false"/>
          <w:color w:val="000000"/>
          <w:sz w:val="22"/>
        </w:rPr>
        <w:t xml:space="preserve">(514D) </w:t>
      </w:r>
      <w:r>
        <w:rPr>
          <w:rFonts w:ascii="Times New Roman" w:hAnsi="Times New Roman"/>
          <w:b/>
          <w:i w:val="false"/>
          <w:color w:val="000000"/>
          <w:sz w:val="22"/>
        </w:rPr>
        <w:t xml:space="preserve">Prohibition against preexisting conditions, waiting periods, elimination periods and probationary periods in replacement policies or certificates.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37.33(1)</w:t>
      </w:r>
      <w:r>
        <w:rPr>
          <w:rFonts w:ascii="Times New Roman" w:hAnsi="Times New Roman"/>
          <w:b w:val="false"/>
          <w:i w:val="false"/>
          <w:color w:val="000000"/>
          <w:sz w:val="22"/>
        </w:rPr>
        <w:t> </w:t>
      </w:r>
      <w:r>
        <w:rPr>
          <w:rFonts w:ascii="Times New Roman" w:hAnsi="Times New Roman"/>
          <w:b w:val="false"/>
          <w:i/>
          <w:color w:val="000000"/>
          <w:sz w:val="22"/>
        </w:rPr>
        <w:t xml:space="preserve">Time credited from prior policy or certificate. </w:t>
      </w:r>
      <w:r>
        <w:rPr>
          <w:rFonts w:ascii="Times New Roman" w:hAnsi="Times New Roman"/>
          <w:b w:val="false"/>
          <w:i w:val="false"/>
          <w:color w:val="000000"/>
          <w:sz w:val="22"/>
        </w:rPr>
        <w:t>If a Medicare supplement policy or certificate replaces another Medicare supplement policy or certificate, the replacing issuer shall waive any time periods applicable to preexisting conditions, waiting periods, elimination periods and probationary periods in the new replacing Medicare supplement policy or certificate to the extent such time was spent under the replaced policy.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37.33(2)</w:t>
      </w:r>
      <w:r>
        <w:rPr>
          <w:rFonts w:ascii="Times New Roman" w:hAnsi="Times New Roman"/>
          <w:b w:val="false"/>
          <w:i w:val="false"/>
          <w:color w:val="000000"/>
          <w:sz w:val="22"/>
        </w:rPr>
        <w:t> </w:t>
      </w:r>
      <w:r>
        <w:rPr>
          <w:rFonts w:ascii="Times New Roman" w:hAnsi="Times New Roman"/>
          <w:b w:val="false"/>
          <w:i/>
          <w:color w:val="000000"/>
          <w:sz w:val="22"/>
        </w:rPr>
        <w:t xml:space="preserve">Similar benefits credited from prior policy or certificate. </w:t>
      </w:r>
      <w:r>
        <w:rPr>
          <w:rFonts w:ascii="Times New Roman" w:hAnsi="Times New Roman"/>
          <w:b w:val="false"/>
          <w:i w:val="false"/>
          <w:color w:val="000000"/>
          <w:sz w:val="22"/>
        </w:rPr>
        <w:t>If a Medicare supplement policy or certificate replaces another Medicare supplement policy or certificate which has been in effect for at least six months, the replacing Medicare supplement policy or certificate shall not provide any time period applicable to preexisting conditions, waiting periods, elimination periods and probationary periods for benefits similar to those contained in the replaced policy or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191—37.34</w:t>
      </w:r>
      <w:r>
        <w:rPr>
          <w:rFonts w:ascii="Times New Roman" w:hAnsi="Times New Roman"/>
          <w:b/>
          <w:i w:val="false"/>
          <w:color w:val="000000"/>
          <w:sz w:val="22"/>
        </w:rPr>
        <w:t xml:space="preserve">(514D) </w:t>
      </w:r>
      <w:r>
        <w:rPr>
          <w:rFonts w:ascii="Times New Roman" w:hAnsi="Times New Roman"/>
          <w:b/>
          <w:i w:val="false"/>
          <w:color w:val="000000"/>
          <w:sz w:val="22"/>
        </w:rPr>
        <w:t xml:space="preserve">Prohibitions against use of genetic information and against requests for genetic testing. </w:t>
      </w:r>
      <w:r>
        <w:rPr>
          <w:rFonts w:ascii="Times New Roman" w:hAnsi="Times New Roman"/>
          <w:b w:val="false"/>
          <w:i w:val="false"/>
          <w:color w:val="000000"/>
          <w:sz w:val="22"/>
        </w:rPr>
        <w:t>This rule applies to all Medicare supplement policies or certificates with policy years beginning on or after May 21,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“Family member” </w:t>
      </w:r>
      <w:r>
        <w:rPr>
          <w:rFonts w:ascii="Times New Roman" w:hAnsi="Times New Roman"/>
          <w:b w:val="false"/>
          <w:i w:val="false"/>
          <w:color w:val="000000"/>
          <w:sz w:val="22"/>
        </w:rPr>
        <w:t>means, with respect to an individual, any other individual who is a first-degree, second-degree, third-degree, or fourth-degree relative of such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“Genetic information” </w:t>
      </w:r>
      <w:r>
        <w:rPr>
          <w:rFonts w:ascii="Times New Roman" w:hAnsi="Times New Roman"/>
          <w:b w:val="false"/>
          <w:i w:val="false"/>
          <w:color w:val="000000"/>
          <w:sz w:val="22"/>
        </w:rPr>
        <w:t>means, with respect to any individual, information about such individual’s genetic tests, the genetic tests of family members of such individual, and the manifestation of a disease or disorder in family members of such individual. “Genetic information” includes, with respect to any individual, any request for, or receipt of, genetic services, or participation in clinical research which includes genetic services, by such individual or any family member of such individual. Any reference to genetic information concerning an individual or family member of an individual who is a pregnant woman includes genetic information of any fetus carried by such pregnant woman or, with respect to an individual or family member utilizing reproductive technology, includes genetic information of any embryo legally held by an individual or family member. The term “genetic information” does not include information about the sex or age of any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“Genetic services” </w:t>
      </w:r>
      <w:r>
        <w:rPr>
          <w:rFonts w:ascii="Times New Roman" w:hAnsi="Times New Roman"/>
          <w:b w:val="false"/>
          <w:i w:val="false"/>
          <w:color w:val="000000"/>
          <w:sz w:val="22"/>
        </w:rPr>
        <w:t>means a genetic test, genetic counseling (including obtaining, interpreting, or assessing genetic information), or genetic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“Genetic test” </w:t>
      </w:r>
      <w:r>
        <w:rPr>
          <w:rFonts w:ascii="Times New Roman" w:hAnsi="Times New Roman"/>
          <w:b w:val="false"/>
          <w:i w:val="false"/>
          <w:color w:val="000000"/>
          <w:sz w:val="22"/>
        </w:rPr>
        <w:t>means an analysis of human DNA, RNA, chromosomes, proteins, or metabolites that detects genotypes, mutations, or chromosomal changes. The term “genetic test” does not mean: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analysis of proteins or metabolites that does not detect genotypes, mutations, or chromosomal changes;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analysis of proteins or metabolites that is directly related to a manifested disease, disorder, or pathological condition that could reasonably be detected by a health care professional with appropriate training and expertise in the field of medicine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“Issuer of a Medicare supplement policy or certificate” </w:t>
      </w:r>
      <w:r>
        <w:rPr>
          <w:rFonts w:ascii="Times New Roman" w:hAnsi="Times New Roman"/>
          <w:b w:val="false"/>
          <w:i w:val="false"/>
          <w:color w:val="000000"/>
          <w:sz w:val="22"/>
        </w:rPr>
        <w:t xml:space="preserve">means the same as “issuer” as defined in rule </w:t>
      </w:r>
      <w:hyperlink r:id="rId198">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(514D) and includes a third-party administrator, or other person acting for or on behalf of such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“Underwriting purposes”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Rules for or determination of eligibility (including enrollment and continued eligibility) for benefits under the Medicare supplement policy or certificate;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computation of premium or contribution amounts under the Medicare supplement policy or certificate;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application of any preexisting condition exclusion under the Medicare supplement policy or certificate;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Other activities related to the creation, renewal, or replacement of a contract of health insurance or health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37.34(2)</w:t>
      </w:r>
      <w:r>
        <w:rPr>
          <w:rFonts w:ascii="Times New Roman" w:hAnsi="Times New Roman"/>
          <w:b w:val="false"/>
          <w:i w:val="false"/>
          <w:color w:val="000000"/>
          <w:sz w:val="22"/>
        </w:rPr>
        <w:t> </w:t>
      </w:r>
      <w:r>
        <w:rPr>
          <w:rFonts w:ascii="Times New Roman" w:hAnsi="Times New Roman"/>
          <w:b w:val="false"/>
          <w:i/>
          <w:color w:val="000000"/>
          <w:sz w:val="22"/>
        </w:rPr>
        <w:t xml:space="preserve">Use of genetic information by issuer prohibited. </w:t>
      </w:r>
      <w:r>
        <w:rPr>
          <w:rFonts w:ascii="Times New Roman" w:hAnsi="Times New Roman"/>
          <w:b w:val="false"/>
          <w:i w:val="false"/>
          <w:color w:val="000000"/>
          <w:sz w:val="22"/>
        </w:rPr>
        <w:t>An issuer of a Medicare supplement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Shall not deny or condition the issuance or effectiveness of the Medicare supplement policy or certificate (including the imposition of any exclusion of benefits under the policy based on a preexisting condition) of an individual on the basis of the genetic information with respect to such individual;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Shall not discriminate in the pricing of the Medicare supplement policy or certificate (including the adjustment of premium rates) of an individual on the basis of the genetic information with respect to such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37.34(3)</w:t>
      </w:r>
      <w:r>
        <w:rPr>
          <w:rFonts w:ascii="Times New Roman" w:hAnsi="Times New Roman"/>
          <w:b w:val="false"/>
          <w:i w:val="false"/>
          <w:color w:val="000000"/>
          <w:sz w:val="22"/>
        </w:rPr>
        <w:t> </w:t>
      </w:r>
      <w:r>
        <w:rPr>
          <w:rFonts w:ascii="Times New Roman" w:hAnsi="Times New Roman"/>
          <w:b w:val="false"/>
          <w:i/>
          <w:color w:val="000000"/>
          <w:sz w:val="22"/>
        </w:rPr>
        <w:t xml:space="preserve">What prohibition does not include. </w:t>
      </w:r>
      <w:r>
        <w:rPr>
          <w:rFonts w:ascii="Times New Roman" w:hAnsi="Times New Roman"/>
          <w:b w:val="false"/>
          <w:i w:val="false"/>
          <w:color w:val="000000"/>
          <w:sz w:val="22"/>
        </w:rPr>
        <w:t xml:space="preserve">Nothing in </w:t>
      </w:r>
      <w:hyperlink r:id="rId199">
        <w:r>
          <w:rPr>
            <w:rStyle w:val="Hyperlink"/>
            <w:rFonts w:ascii="Times New Roman" w:hAnsi="Times New Roman"/>
            <w:b w:val="false"/>
            <w:i w:val="false"/>
            <w:color w:val="000000"/>
            <w:sz w:val="22"/>
          </w:rPr>
          <w:t>subrule 37.34(2)</w:t>
        </w:r>
      </w:hyperlink>
      <w:r>
        <w:rPr>
          <w:rFonts w:ascii="Times New Roman" w:hAnsi="Times New Roman"/>
          <w:b w:val="false"/>
          <w:i w:val="false"/>
          <w:color w:val="000000"/>
          <w:sz w:val="22"/>
        </w:rPr>
        <w:t xml:space="preserve"> shall be construed to limit the ability of an issuer of a Medicare supplement policy or certificate, to the extent otherwise permitted by law,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Denying or conditioning the issuance or effectiveness of the Medicare supplement policy or certificate or increasing the premium for a group plan based on the manifestation of a disease or disorder of a covered individual or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Increasing the premium for any Medicare supplement policy or certificate issued to an individual based on the manifestation of a disease or disorder of another individual who is covered under the Medicare supplement policy. In such case, the manifestation of a disease or disorder in one individual cannot also be used as genetic information about other group members and to further increase the premium for the insured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37.34(4)</w:t>
      </w:r>
      <w:r>
        <w:rPr>
          <w:rFonts w:ascii="Times New Roman" w:hAnsi="Times New Roman"/>
          <w:b w:val="false"/>
          <w:i w:val="false"/>
          <w:color w:val="000000"/>
          <w:sz w:val="22"/>
        </w:rPr>
        <w:t> </w:t>
      </w:r>
      <w:r>
        <w:rPr>
          <w:rFonts w:ascii="Times New Roman" w:hAnsi="Times New Roman"/>
          <w:b w:val="false"/>
          <w:i/>
          <w:color w:val="000000"/>
          <w:sz w:val="22"/>
        </w:rPr>
        <w:t xml:space="preserve">Issuer prohibited from requiring genetic testing. </w:t>
      </w:r>
      <w:r>
        <w:rPr>
          <w:rFonts w:ascii="Times New Roman" w:hAnsi="Times New Roman"/>
          <w:b w:val="false"/>
          <w:i w:val="false"/>
          <w:color w:val="000000"/>
          <w:sz w:val="22"/>
        </w:rPr>
        <w:t>An issuer of a Medicare supplement policy or certificate shall not request or require an individual or a family member of such individual to undergo a genetic test.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37.34(5)</w:t>
      </w:r>
      <w:r>
        <w:rPr>
          <w:rFonts w:ascii="Times New Roman" w:hAnsi="Times New Roman"/>
          <w:b w:val="false"/>
          <w:i w:val="false"/>
          <w:color w:val="000000"/>
          <w:sz w:val="22"/>
        </w:rPr>
        <w:t> </w:t>
      </w:r>
      <w:r>
        <w:rPr>
          <w:rFonts w:ascii="Times New Roman" w:hAnsi="Times New Roman"/>
          <w:b w:val="false"/>
          <w:i/>
          <w:color w:val="000000"/>
          <w:sz w:val="22"/>
        </w:rPr>
        <w:t xml:space="preserve">Obtaining and using test results to determine payment. </w:t>
      </w:r>
      <w:r>
        <w:rPr>
          <w:rFonts w:ascii="Times New Roman" w:hAnsi="Times New Roman"/>
          <w:b w:val="false"/>
          <w:i w:val="false"/>
          <w:color w:val="000000"/>
          <w:sz w:val="22"/>
        </w:rPr>
        <w:t>Sub</w:t>
      </w:r>
      <w:hyperlink r:id="rId200">
        <w:r>
          <w:rPr>
            <w:rStyle w:val="Hyperlink"/>
            <w:rFonts w:ascii="Times New Roman" w:hAnsi="Times New Roman"/>
            <w:b w:val="false"/>
            <w:i w:val="false"/>
            <w:color w:val="000000"/>
            <w:sz w:val="22"/>
          </w:rPr>
          <w:t>rule 37.34(4)</w:t>
        </w:r>
      </w:hyperlink>
      <w:r>
        <w:rPr>
          <w:rFonts w:ascii="Times New Roman" w:hAnsi="Times New Roman"/>
          <w:b w:val="false"/>
          <w:i w:val="false"/>
          <w:color w:val="000000"/>
          <w:sz w:val="22"/>
        </w:rPr>
        <w:t xml:space="preserve"> shall not be construed to preclude an issuer of a Medicare supplement policy or certificate from obtaining and using the results of a genetic test in making a determination regarding payment (as defined for the purposes of applying the regulations promulgated under Medicare Part C of Title XI and </w:t>
      </w:r>
      <w:r>
        <w:rPr>
          <w:rFonts w:ascii="Times New Roman" w:hAnsi="Times New Roman"/>
          <w:b w:val="false"/>
          <w:i w:val="false"/>
          <w:color w:val="000000"/>
          <w:sz w:val="22"/>
        </w:rPr>
        <w:t>Section 264 of the Health Insurance Portability and Accountability Act of 1996</w:t>
      </w:r>
      <w:r>
        <w:rPr>
          <w:rFonts w:ascii="Times New Roman" w:hAnsi="Times New Roman"/>
          <w:b w:val="false"/>
          <w:i w:val="false"/>
          <w:color w:val="000000"/>
          <w:sz w:val="22"/>
        </w:rPr>
        <w:t xml:space="preserve">, as may be revised from time to time) and consistent with </w:t>
      </w:r>
      <w:hyperlink r:id="rId201">
        <w:r>
          <w:rPr>
            <w:rStyle w:val="Hyperlink"/>
            <w:rFonts w:ascii="Times New Roman" w:hAnsi="Times New Roman"/>
            <w:b w:val="false"/>
            <w:i w:val="false"/>
            <w:color w:val="000000"/>
            <w:sz w:val="22"/>
          </w:rPr>
          <w:t>subrule 37.34(2)</w:t>
        </w:r>
      </w:hyperlink>
      <w:r>
        <w:rPr>
          <w:rFonts w:ascii="Times New Roman" w:hAnsi="Times New Roman"/>
          <w:b w:val="false"/>
          <w:i w:val="false"/>
          <w:color w:val="000000"/>
          <w:sz w:val="22"/>
        </w:rPr>
        <w:t>. However, for purposes of carrying out this subrule, an issuer of a Medicare supplement policy or certificate may request only the minimum amount of information necessary to accomplish the intended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37.34(6)</w:t>
      </w:r>
      <w:r>
        <w:rPr>
          <w:rFonts w:ascii="Times New Roman" w:hAnsi="Times New Roman"/>
          <w:b w:val="false"/>
          <w:i w:val="false"/>
          <w:color w:val="000000"/>
          <w:sz w:val="22"/>
        </w:rPr>
        <w:t> </w:t>
      </w:r>
      <w:r>
        <w:rPr>
          <w:rFonts w:ascii="Times New Roman" w:hAnsi="Times New Roman"/>
          <w:b w:val="false"/>
          <w:i/>
          <w:color w:val="000000"/>
          <w:sz w:val="22"/>
        </w:rPr>
        <w:t xml:space="preserve">Conditions when issuer may request a genetic test. </w:t>
      </w:r>
      <w:r>
        <w:rPr>
          <w:rFonts w:ascii="Times New Roman" w:hAnsi="Times New Roman"/>
          <w:b w:val="false"/>
          <w:i w:val="false"/>
          <w:color w:val="000000"/>
          <w:sz w:val="22"/>
        </w:rPr>
        <w:t xml:space="preserve">Notwithstanding </w:t>
      </w:r>
      <w:hyperlink r:id="rId202">
        <w:r>
          <w:rPr>
            <w:rStyle w:val="Hyperlink"/>
            <w:rFonts w:ascii="Times New Roman" w:hAnsi="Times New Roman"/>
            <w:b w:val="false"/>
            <w:i w:val="false"/>
            <w:color w:val="000000"/>
            <w:sz w:val="22"/>
          </w:rPr>
          <w:t>subrule 37.34(4)</w:t>
        </w:r>
      </w:hyperlink>
      <w:r>
        <w:rPr>
          <w:rFonts w:ascii="Times New Roman" w:hAnsi="Times New Roman"/>
          <w:b w:val="false"/>
          <w:i w:val="false"/>
          <w:color w:val="000000"/>
          <w:sz w:val="22"/>
        </w:rPr>
        <w:t>, an issuer of a Medicare supplement policy or certificate may request, but not require, that an individual or a family member of such individual undergo a genetic test if each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request is made pursuant to research that complies with Part 46 of Title 45, Code of Federal Regulations, or equivalent federal regulations, and any applicable state or local law or regulations for the protection of human subjects in 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issuer of a Medicare supplement policy or certificate clearly indicates to each individual, or in the case of a minor child, to the legal guardian of such child, to whom the request is made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Compliance with the request is voluntary;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Noncompliance will have no effect on enrollment status or premium or contribution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genetic information collected or acquired under this subrule shall be used for underwriting, determination of eligibility to enroll or maintain enrollment status, premium rates, or the issuance, renewal, or replacement of a Medicare supplement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issuer of a Medicare supplement policy or certificate notifies the Secretary in writing that the issuer of a Medicare supplement policy or certificate is conducting activities pursuant to the exception provided for under this subrule, including a description of the activities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issuer of a Medicare supplement policy or certificate complies with such other conditions as the Secretary may by regulation require for activities conducted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37.34(7)</w:t>
      </w:r>
      <w:r>
        <w:rPr>
          <w:rFonts w:ascii="Times New Roman" w:hAnsi="Times New Roman"/>
          <w:b w:val="false"/>
          <w:i w:val="false"/>
          <w:color w:val="000000"/>
          <w:sz w:val="22"/>
        </w:rPr>
        <w:t> </w:t>
      </w:r>
      <w:r>
        <w:rPr>
          <w:rFonts w:ascii="Times New Roman" w:hAnsi="Times New Roman"/>
          <w:b w:val="false"/>
          <w:i/>
          <w:color w:val="000000"/>
          <w:sz w:val="22"/>
        </w:rPr>
        <w:t xml:space="preserve">Issuer prohibited from actively obtaining genetic information for underwriting. </w:t>
      </w:r>
      <w:r>
        <w:rPr>
          <w:rFonts w:ascii="Times New Roman" w:hAnsi="Times New Roman"/>
          <w:b w:val="false"/>
          <w:i w:val="false"/>
          <w:color w:val="000000"/>
          <w:sz w:val="22"/>
        </w:rPr>
        <w:t>An issuer of a Medicare supplement policy or certificate shall not request, require, or purchase genetic information for underwriting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37.34(8)</w:t>
      </w:r>
      <w:r>
        <w:rPr>
          <w:rFonts w:ascii="Times New Roman" w:hAnsi="Times New Roman"/>
          <w:b w:val="false"/>
          <w:i w:val="false"/>
          <w:color w:val="000000"/>
          <w:sz w:val="22"/>
        </w:rPr>
        <w:t> </w:t>
      </w:r>
      <w:r>
        <w:rPr>
          <w:rFonts w:ascii="Times New Roman" w:hAnsi="Times New Roman"/>
          <w:b w:val="false"/>
          <w:i/>
          <w:color w:val="000000"/>
          <w:sz w:val="22"/>
        </w:rPr>
        <w:t xml:space="preserve">Issuer prohibited from actively obtaining genetic information for enrollment. </w:t>
      </w:r>
      <w:r>
        <w:rPr>
          <w:rFonts w:ascii="Times New Roman" w:hAnsi="Times New Roman"/>
          <w:b w:val="false"/>
          <w:i w:val="false"/>
          <w:color w:val="000000"/>
          <w:sz w:val="22"/>
        </w:rPr>
        <w:t>An issuer of a Medicare supplement policy or certificate shall not request, require, or purchase genetic information with respect to any individual prior to such individual’s enrollment under the policy in connection with such enrollment.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37.34(9)</w:t>
      </w:r>
      <w:r>
        <w:rPr>
          <w:rFonts w:ascii="Times New Roman" w:hAnsi="Times New Roman"/>
          <w:b w:val="false"/>
          <w:i w:val="false"/>
          <w:color w:val="000000"/>
          <w:sz w:val="22"/>
        </w:rPr>
        <w:t> </w:t>
      </w:r>
      <w:r>
        <w:rPr>
          <w:rFonts w:ascii="Times New Roman" w:hAnsi="Times New Roman"/>
          <w:b w:val="false"/>
          <w:i/>
          <w:color w:val="000000"/>
          <w:sz w:val="22"/>
        </w:rPr>
        <w:t xml:space="preserve">Obtaining information incidentally not a violation. </w:t>
      </w:r>
      <w:r>
        <w:rPr>
          <w:rFonts w:ascii="Times New Roman" w:hAnsi="Times New Roman"/>
          <w:b w:val="false"/>
          <w:i w:val="false"/>
          <w:color w:val="000000"/>
          <w:sz w:val="22"/>
        </w:rPr>
        <w:t xml:space="preserve">If an issuer of a Medicare supplement policy or certificate obtains genetic information incidental to the requesting, requiring, or purchasing of other information concerning any individual, such request, requirement, or purchase shall not be considered a violation of </w:t>
      </w:r>
      <w:hyperlink r:id="rId203">
        <w:r>
          <w:rPr>
            <w:rStyle w:val="Hyperlink"/>
            <w:rFonts w:ascii="Times New Roman" w:hAnsi="Times New Roman"/>
            <w:b w:val="false"/>
            <w:i w:val="false"/>
            <w:color w:val="000000"/>
            <w:sz w:val="22"/>
          </w:rPr>
          <w:t>subrule 37.34(8)</w:t>
        </w:r>
      </w:hyperlink>
      <w:r>
        <w:rPr>
          <w:rFonts w:ascii="Times New Roman" w:hAnsi="Times New Roman"/>
          <w:b w:val="false"/>
          <w:i w:val="false"/>
          <w:color w:val="000000"/>
          <w:sz w:val="22"/>
        </w:rPr>
        <w:t xml:space="preserve"> if such request, requirement, or purchase is not in violation of </w:t>
      </w:r>
      <w:hyperlink r:id="rId204">
        <w:r>
          <w:rPr>
            <w:rStyle w:val="Hyperlink"/>
            <w:rFonts w:ascii="Times New Roman" w:hAnsi="Times New Roman"/>
            <w:b w:val="false"/>
            <w:i w:val="false"/>
            <w:color w:val="000000"/>
            <w:sz w:val="22"/>
          </w:rPr>
          <w:t>subrule 37.34(7)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191—37.35</w:t>
      </w:r>
      <w:r>
        <w:rPr>
          <w:rFonts w:ascii="Times New Roman" w:hAnsi="Times New Roman"/>
          <w:b/>
          <w:i w:val="false"/>
          <w:color w:val="000000"/>
          <w:sz w:val="22"/>
        </w:rPr>
        <w:t xml:space="preserve">(514D) </w:t>
      </w:r>
      <w:r>
        <w:rPr>
          <w:rFonts w:ascii="Times New Roman" w:hAnsi="Times New Roman"/>
          <w:b/>
          <w:i w:val="false"/>
          <w:color w:val="000000"/>
          <w:sz w:val="22"/>
        </w:rPr>
        <w:t xml:space="preserve">Prohibition against using materials prepared by SHIIP. </w:t>
      </w:r>
      <w:r>
        <w:rPr>
          <w:rFonts w:ascii="Times New Roman" w:hAnsi="Times New Roman"/>
          <w:b w:val="false"/>
          <w:i w:val="false"/>
          <w:color w:val="000000"/>
          <w:sz w:val="22"/>
        </w:rPr>
        <w:t xml:space="preserve">The Senior Health Insurance Information Program (SHIIP) may prepare a consumer Medicare supplement insurance premium guide and benefits comparison guide. This guide and the SHIIP name or logo shall not be used in the solicitation or sale of health insurance products. Violation of this rule shall be deemed an unfair trade practice under Iowa Code chapter </w:t>
      </w:r>
      <w:hyperlink r:id="rId205">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191—37.36</w:t>
      </w:r>
      <w:r>
        <w:rPr>
          <w:rFonts w:ascii="Times New Roman" w:hAnsi="Times New Roman"/>
          <w:b/>
          <w:i w:val="false"/>
          <w:color w:val="000000"/>
          <w:sz w:val="22"/>
        </w:rPr>
        <w:t xml:space="preserve">(514D) </w:t>
      </w:r>
      <w:r>
        <w:rPr>
          <w:rFonts w:ascii="Times New Roman" w:hAnsi="Times New Roman"/>
          <w:b/>
          <w:i w:val="false"/>
          <w:color w:val="000000"/>
          <w:sz w:val="22"/>
        </w:rPr>
        <w:t xml:space="preserve">Guaranteed issue for eligible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37.36(1)</w:t>
      </w:r>
      <w:r>
        <w:rPr>
          <w:rFonts w:ascii="Times New Roman" w:hAnsi="Times New Roman"/>
          <w:b w:val="false"/>
          <w:i w:val="false"/>
          <w:color w:val="000000"/>
          <w:sz w:val="22"/>
        </w:rPr>
        <w:t> </w:t>
      </w:r>
      <w:r>
        <w:rPr>
          <w:rFonts w:ascii="Times New Roman" w:hAnsi="Times New Roman"/>
          <w:b w:val="false"/>
          <w:i/>
          <w:color w:val="000000"/>
          <w:sz w:val="22"/>
        </w:rPr>
        <w:t xml:space="preserve">Definition of “Medicare Advantage organization.” </w:t>
      </w:r>
      <w:r>
        <w:rPr>
          <w:rFonts w:ascii="Times New Roman" w:hAnsi="Times New Roman"/>
          <w:b w:val="false"/>
          <w:i w:val="false"/>
          <w:color w:val="000000"/>
          <w:sz w:val="22"/>
        </w:rPr>
        <w:t>For purposes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Advantage organization” </w:t>
      </w:r>
      <w:r>
        <w:rPr>
          <w:rFonts w:ascii="Times New Roman" w:hAnsi="Times New Roman"/>
          <w:b w:val="false"/>
          <w:i w:val="false"/>
          <w:color w:val="000000"/>
          <w:sz w:val="22"/>
        </w:rPr>
        <w:t>means a private company that has a contract with Medicare to provide Medicare Advantage plans and benefits to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37.36(2)</w:t>
      </w:r>
      <w:r>
        <w:rPr>
          <w:rFonts w:ascii="Times New Roman" w:hAnsi="Times New Roman"/>
          <w:b w:val="false"/>
          <w:i w:val="false"/>
          <w:color w:val="000000"/>
          <w:sz w:val="22"/>
        </w:rPr>
        <w:t> </w:t>
      </w:r>
      <w:r>
        <w:rPr>
          <w:rFonts w:ascii="Times New Roman" w:hAnsi="Times New Roman"/>
          <w:b w:val="false"/>
          <w:i/>
          <w:color w:val="000000"/>
          <w:sz w:val="22"/>
        </w:rPr>
        <w:t xml:space="preserve">Guaranteed issue.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Eligible persons for guaranteed issue of a Medicare supplement policy or certificate are those individuals described in </w:t>
      </w:r>
      <w:hyperlink r:id="rId206">
        <w:r>
          <w:rPr>
            <w:rStyle w:val="Hyperlink"/>
            <w:rFonts w:ascii="Times New Roman" w:hAnsi="Times New Roman"/>
            <w:b w:val="false"/>
            <w:i w:val="false"/>
            <w:color w:val="000000"/>
            <w:sz w:val="22"/>
          </w:rPr>
          <w:t>subrule 37.36(3)</w:t>
        </w:r>
      </w:hyperlink>
      <w:r>
        <w:rPr>
          <w:rFonts w:ascii="Times New Roman" w:hAnsi="Times New Roman"/>
          <w:b w:val="false"/>
          <w:i w:val="false"/>
          <w:color w:val="000000"/>
          <w:sz w:val="22"/>
        </w:rPr>
        <w:t xml:space="preserve"> who seek to enroll under the Medicare supplement policy during the period specified in </w:t>
      </w:r>
      <w:hyperlink r:id="rId207">
        <w:r>
          <w:rPr>
            <w:rStyle w:val="Hyperlink"/>
            <w:rFonts w:ascii="Times New Roman" w:hAnsi="Times New Roman"/>
            <w:b w:val="false"/>
            <w:i w:val="false"/>
            <w:color w:val="000000"/>
            <w:sz w:val="22"/>
          </w:rPr>
          <w:t>subrule 37.36(4)</w:t>
        </w:r>
      </w:hyperlink>
      <w:r>
        <w:rPr>
          <w:rFonts w:ascii="Times New Roman" w:hAnsi="Times New Roman"/>
          <w:b w:val="false"/>
          <w:i w:val="false"/>
          <w:color w:val="000000"/>
          <w:sz w:val="22"/>
        </w:rPr>
        <w:t xml:space="preserve"> and who submit evidence of the date of termination, disenrollment, or Medicare Part D enrollment with the application for a Medicare supplement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 respect to eligible individuals for guaranteed issue of a Medicare supplement policy or certificate, an issuer: shall not deny or condition the issuance or effectiveness of a Medicare supplement policy or certificate described in </w:t>
      </w:r>
      <w:hyperlink r:id="rId208">
        <w:r>
          <w:rPr>
            <w:rStyle w:val="Hyperlink"/>
            <w:rFonts w:ascii="Times New Roman" w:hAnsi="Times New Roman"/>
            <w:b w:val="false"/>
            <w:i w:val="false"/>
            <w:color w:val="000000"/>
            <w:sz w:val="22"/>
          </w:rPr>
          <w:t>subrule 37.36(6)</w:t>
        </w:r>
      </w:hyperlink>
      <w:r>
        <w:rPr>
          <w:rFonts w:ascii="Times New Roman" w:hAnsi="Times New Roman"/>
          <w:b w:val="false"/>
          <w:i w:val="false"/>
          <w:color w:val="000000"/>
          <w:sz w:val="22"/>
        </w:rPr>
        <w:t xml:space="preserve"> that is offered by the issuer and is available for issuance to new enrollees; shall not discriminate in the pricing of such Medicare supplement policy or certificate because of health status, claims experience, receipt of health care, or medical condition; and shall not impose an exclusion of benefits based on a preexisting condition under such Medicare supplement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37.36(3)</w:t>
      </w:r>
      <w:r>
        <w:rPr>
          <w:rFonts w:ascii="Times New Roman" w:hAnsi="Times New Roman"/>
          <w:b w:val="false"/>
          <w:i w:val="false"/>
          <w:color w:val="000000"/>
          <w:sz w:val="22"/>
        </w:rPr>
        <w:t> </w:t>
      </w:r>
      <w:r>
        <w:rPr>
          <w:rFonts w:ascii="Times New Roman" w:hAnsi="Times New Roman"/>
          <w:b w:val="false"/>
          <w:i/>
          <w:color w:val="000000"/>
          <w:sz w:val="22"/>
        </w:rPr>
        <w:t xml:space="preserve">Eligible persons. </w:t>
      </w:r>
      <w:r>
        <w:rPr>
          <w:rFonts w:ascii="Times New Roman" w:hAnsi="Times New Roman"/>
          <w:b w:val="false"/>
          <w:i w:val="false"/>
          <w:color w:val="000000"/>
          <w:sz w:val="22"/>
        </w:rPr>
        <w:t xml:space="preserve">An eligible person is an individual described in any of the following paragraphs </w:t>
      </w:r>
      <w:hyperlink r:id="rId209">
        <w:r>
          <w:rPr>
            <w:rStyle w:val="Hyperlink"/>
            <w:rFonts w:ascii="Times New Roman" w:hAnsi="Times New Roman"/>
            <w:b w:val="false"/>
            <w:i w:val="false"/>
            <w:color w:val="000000"/>
            <w:sz w:val="22"/>
          </w:rPr>
          <w:t>37.36(3)</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“g”</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enrolled under an employee welfare benefit plan that provides health benefits that supplement benefits under Medicare, and the plan terminates or the plan ceases to provide some or all such supplemental health benefits to the individual (for purposes of this paragraph, “employee welfare benefit plan” means a plan, fund or program of employee benefits as defined in </w:t>
      </w:r>
      <w:r>
        <w:rPr>
          <w:rFonts w:ascii="Times New Roman" w:hAnsi="Times New Roman"/>
          <w:b w:val="false"/>
          <w:i w:val="false"/>
          <w:color w:val="000000"/>
          <w:sz w:val="22"/>
        </w:rPr>
        <w:t>29 U.S.C.</w:t>
      </w:r>
      <w:r>
        <w:rPr>
          <w:rFonts w:ascii="Times New Roman" w:hAnsi="Times New Roman"/>
          <w:b w:val="false"/>
          <w:i w:val="false"/>
          <w:color w:val="000000"/>
          <w:sz w:val="22"/>
        </w:rPr>
        <w:t xml:space="preserve"> Section 1002 Employee Retirement Income Security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enrolled with a Medicare Advantage organization under a Medicare Advantage plan and any of the following circumstances apply, or the individual is 65 years of age or older and is enrolled with a PACE provider and circumstances exist similar to one of the circumstances described in subparagraphs </w:t>
      </w:r>
      <w:hyperlink r:id="rId210">
        <w:r>
          <w:rPr>
            <w:rStyle w:val="Hyperlink"/>
            <w:rFonts w:ascii="Times New Roman" w:hAnsi="Times New Roman"/>
            <w:b w:val="false"/>
            <w:i w:val="false"/>
            <w:color w:val="000000"/>
            <w:sz w:val="22"/>
          </w:rPr>
          <w:t>37.36(3)</w:t>
        </w:r>
      </w:hyperlink>
      <w:r>
        <w:rPr>
          <w:rFonts w:ascii="Times New Roman" w:hAnsi="Times New Roman"/>
          <w:b w:val="false"/>
          <w:i/>
          <w:color w:val="000000"/>
          <w:sz w:val="22"/>
        </w:rPr>
        <w:t>“b”</w:t>
      </w:r>
      <w:r>
        <w:rPr>
          <w:rFonts w:ascii="Times New Roman" w:hAnsi="Times New Roman"/>
          <w:b w:val="false"/>
          <w:i w:val="false"/>
          <w:color w:val="000000"/>
          <w:sz w:val="22"/>
        </w:rPr>
        <w:t>(1) through (5) that would permit discontinuance of the individual’s enrollment with such a provider if such individual were enrolled in a Medicare Advantage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certification of the Medicare Advantage organization or Medicare Advantage plan has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Medicare Advantage organization has terminated or otherwise discontinued providing the Medicare Advantage plan in the area in which the individual resides.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no longer eligible to elect the Medicare Advantage plan because of a change in the individual’s place of residence or other change in circumstances specified by the Secretary, but not including termination of the individual’s enrollment on the basis described in </w:t>
      </w:r>
      <w:r>
        <w:rPr>
          <w:rFonts w:ascii="Times New Roman" w:hAnsi="Times New Roman"/>
          <w:b w:val="false"/>
          <w:i w:val="false"/>
          <w:color w:val="000000"/>
          <w:sz w:val="22"/>
        </w:rPr>
        <w:t>Section 1851(g)(3)(B) of the federal Social Security Act</w:t>
      </w:r>
      <w:r>
        <w:rPr>
          <w:rFonts w:ascii="Times New Roman" w:hAnsi="Times New Roman"/>
          <w:b w:val="false"/>
          <w:i w:val="false"/>
          <w:color w:val="000000"/>
          <w:sz w:val="22"/>
        </w:rPr>
        <w:t xml:space="preserve"> (where the individual has not paid premiums on a timely basis or has engaged in disruptive behavior as specified in standards under Section 1856), or the Medicare Advantage plan is terminated for all individuals within a residence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individual demonstrates, in accordance with guidelines established by the Secretary,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Medicare Advantage organization offering the Medicare Advantage plan substantially violated a material provision of the Medicare Advantage organization’s contract under this part in relation to the individual, including the failure to provide an enrollee on a timely basis medically necessary care for which benefits are available under the Medicare Advantage plan or the failure to provide such covered care in accordance with applicable quality standards;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Medicare Advantage organization, or agent, producer or other entity acting on the Medicare Advantage organization’s behalf, materially misrepresented the Medicare Advantage plan’s provisions in marketing the Medicare Advantage plan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individual meets such other exceptional conditions as the Secretary may provide.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is one for whom both subparagraphs </w:t>
      </w:r>
      <w:hyperlink r:id="rId211">
        <w:r>
          <w:rPr>
            <w:rStyle w:val="Hyperlink"/>
            <w:rFonts w:ascii="Times New Roman" w:hAnsi="Times New Roman"/>
            <w:b w:val="false"/>
            <w:i w:val="false"/>
            <w:color w:val="000000"/>
            <w:sz w:val="22"/>
          </w:rPr>
          <w:t>37.36(3)</w:t>
        </w:r>
      </w:hyperlink>
      <w:r>
        <w:rPr>
          <w:rFonts w:ascii="Times New Roman" w:hAnsi="Times New Roman"/>
          <w:b w:val="false"/>
          <w:i/>
          <w:color w:val="000000"/>
          <w:sz w:val="22"/>
        </w:rPr>
        <w:t>“c”</w:t>
      </w:r>
      <w:r>
        <w:rPr>
          <w:rFonts w:ascii="Times New Roman" w:hAnsi="Times New Roman"/>
          <w:b w:val="false"/>
          <w:i w:val="false"/>
          <w:color w:val="000000"/>
          <w:sz w:val="22"/>
        </w:rPr>
        <w:t>(1) and (2) are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individual is enrolled with one of the following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organization under a contract under </w:t>
      </w:r>
      <w:r>
        <w:rPr>
          <w:rFonts w:ascii="Times New Roman" w:hAnsi="Times New Roman"/>
          <w:b w:val="false"/>
          <w:i w:val="false"/>
          <w:color w:val="000000"/>
          <w:sz w:val="22"/>
        </w:rPr>
        <w:t>Section 1876 of the Social Security Act</w:t>
      </w:r>
      <w:r>
        <w:rPr>
          <w:rFonts w:ascii="Times New Roman" w:hAnsi="Times New Roman"/>
          <w:b w:val="false"/>
          <w:i w:val="false"/>
          <w:color w:val="000000"/>
          <w:sz w:val="22"/>
        </w:rPr>
        <w:t xml:space="preserve"> (Medicare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similar organization operating under demonstration project authority, effective for periods before April 1, 1999;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An organization operating under an agreement under </w:t>
      </w:r>
      <w:r>
        <w:rPr>
          <w:rFonts w:ascii="Times New Roman" w:hAnsi="Times New Roman"/>
          <w:b w:val="false"/>
          <w:i w:val="false"/>
          <w:color w:val="000000"/>
          <w:sz w:val="22"/>
        </w:rPr>
        <w:t>Section 1833(a)(1)(A) of the Social Security Act</w:t>
      </w:r>
      <w:r>
        <w:rPr>
          <w:rFonts w:ascii="Times New Roman" w:hAnsi="Times New Roman"/>
          <w:b w:val="false"/>
          <w:i w:val="false"/>
          <w:color w:val="000000"/>
          <w:sz w:val="22"/>
        </w:rPr>
        <w:t xml:space="preserve"> (Health Care Prepayment Plan (HCPP));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organization under a Medicare Select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enrollment ceases under the same circumstances that would permit discontinuance of an individual’s election of coverage under </w:t>
      </w:r>
      <w:hyperlink r:id="rId212">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is enrolled under a Medicare supplement policy or certificate, and the enrollment ceases because: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insolvency or rehabilitation of the issuer (pursuant to Iowa Code chapter </w:t>
      </w:r>
      <w:hyperlink r:id="rId213">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or the bankruptcy of the Medicare Advantage organization; or of other involuntary termination of coverage or enrollment under the policy (for purposes of this subparagraph, “bankruptcy” means when a Medicare Advantage organization that is not an issuer has filed, or has had filed against it, a petition for declaration of bankruptcy, and has ceased doing business in the state);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issuer of the policy substantially violated a material provision of the policy;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issuer, or an agent, producer or other entity acting on the issuer’s behalf, materially misrepresented the policy’s provisions in marketing the policy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was enrolled under a Medicare supplement policy or certificate and terminated enrollment and subsequently enrolls, for the first time, with any Medicare Advantage organization under a Medicare Advantage plan, any eligible organization under a contract under </w:t>
      </w:r>
      <w:r>
        <w:rPr>
          <w:rFonts w:ascii="Times New Roman" w:hAnsi="Times New Roman"/>
          <w:b w:val="false"/>
          <w:i w:val="false"/>
          <w:color w:val="000000"/>
          <w:sz w:val="22"/>
        </w:rPr>
        <w:t>Section 1876 of the Social Security Act</w:t>
      </w:r>
      <w:r>
        <w:rPr>
          <w:rFonts w:ascii="Times New Roman" w:hAnsi="Times New Roman"/>
          <w:b w:val="false"/>
          <w:i w:val="false"/>
          <w:color w:val="000000"/>
          <w:sz w:val="22"/>
        </w:rPr>
        <w:t xml:space="preserve"> (Medicare cost), any similar organization operating under demonstration project authority, any PACE provider, or a Medicare Select policy; and the subsequent enrollment under this </w:t>
      </w:r>
      <w:hyperlink r:id="rId214">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“e”</w:t>
      </w:r>
      <w:r>
        <w:rPr>
          <w:rFonts w:ascii="Times New Roman" w:hAnsi="Times New Roman"/>
          <w:b w:val="false"/>
          <w:i w:val="false"/>
          <w:color w:val="000000"/>
          <w:sz w:val="22"/>
        </w:rPr>
        <w:t xml:space="preserve"> was terminated by the enrollee during any period within the first 12 months of such subsequent enrollment (during which the enrollee is permitted to terminate such subsequent enrollment under </w:t>
      </w:r>
      <w:r>
        <w:rPr>
          <w:rFonts w:ascii="Times New Roman" w:hAnsi="Times New Roman"/>
          <w:b w:val="false"/>
          <w:i w:val="false"/>
          <w:color w:val="000000"/>
          <w:sz w:val="22"/>
        </w:rPr>
        <w:t>Section 1851(e) of the federal Social Security Act</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individual, upon first becoming enrolled for benefits under Medicare Part B at age 65 or older, enrolls in a Medicare Advantage plan under Medicare Part C, or with a PACE provider, and disenrolls from the plan or program by no later than 12 months after the effective date of enrollment.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individual enrolls in a Medicare Part D plan during the initial enrollment period and, at the time of enrollment in Medicare Part D, was enrolled under a Medicare supplement policy or certificate that covers outpatient prescription drugs and the individual terminates enrollment in the Medicare supplement policy or certificate and submits evidence of enrollment in Medicare Part D along with the application for a policy described in </w:t>
      </w:r>
      <w:hyperlink r:id="rId215">
        <w:r>
          <w:rPr>
            <w:rStyle w:val="Hyperlink"/>
            <w:rFonts w:ascii="Times New Roman" w:hAnsi="Times New Roman"/>
            <w:b w:val="false"/>
            <w:i w:val="false"/>
            <w:color w:val="000000"/>
            <w:sz w:val="22"/>
          </w:rPr>
          <w:t>paragraph 37.36(6)</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37.36(4)</w:t>
      </w:r>
      <w:r>
        <w:rPr>
          <w:rFonts w:ascii="Times New Roman" w:hAnsi="Times New Roman"/>
          <w:b w:val="false"/>
          <w:i w:val="false"/>
          <w:color w:val="000000"/>
          <w:sz w:val="22"/>
        </w:rPr>
        <w:t> </w:t>
      </w:r>
      <w:r>
        <w:rPr>
          <w:rFonts w:ascii="Times New Roman" w:hAnsi="Times New Roman"/>
          <w:b w:val="false"/>
          <w:i/>
          <w:color w:val="000000"/>
          <w:sz w:val="22"/>
        </w:rPr>
        <w:t xml:space="preserve">Guaranteed issue time periods.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16">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guaranteed issue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Begins on the later 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individual receives a notice of termination or cessation of some or all supplemental health benefits (or, if a notice is not received, notice that a claim has been denied because of such a termination or cessation);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that the applicable coverage terminates or ceases;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Ends 63 days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17">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whose enrollment is terminated involuntarily, the guaranteed issue period begins on the date that the individual receives a notice of termination and ends 63 days after the date the applicable coverage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18">
        <w:r>
          <w:rPr>
            <w:rStyle w:val="Hyperlink"/>
            <w:rFonts w:ascii="Times New Roman" w:hAnsi="Times New Roman"/>
            <w:b w:val="false"/>
            <w:i w:val="false"/>
            <w:color w:val="000000"/>
            <w:sz w:val="22"/>
          </w:rPr>
          <w:t>subparagraph 37.36(3)</w:t>
        </w:r>
      </w:hyperlink>
      <w:r>
        <w:rPr>
          <w:rFonts w:ascii="Times New Roman" w:hAnsi="Times New Roman"/>
          <w:b w:val="false"/>
          <w:i/>
          <w:color w:val="000000"/>
          <w:sz w:val="22"/>
        </w:rPr>
        <w:t>“d”</w:t>
      </w:r>
      <w:r>
        <w:rPr>
          <w:rFonts w:ascii="Times New Roman" w:hAnsi="Times New Roman"/>
          <w:b w:val="false"/>
          <w:i w:val="false"/>
          <w:color w:val="000000"/>
          <w:sz w:val="22"/>
        </w:rPr>
        <w:t>(1), the guaranteed issue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Begins on the earlier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that the individual receives a notice of termination, a notice that the issuer is insolvent or in rehabilitation (pursuant to Iowa Code chapter </w:t>
      </w:r>
      <w:hyperlink r:id="rId219">
        <w:r>
          <w:rPr>
            <w:rStyle w:val="Hyperlink"/>
            <w:rFonts w:ascii="Times New Roman" w:hAnsi="Times New Roman"/>
            <w:b w:val="false"/>
            <w:i w:val="false"/>
            <w:color w:val="000000"/>
            <w:sz w:val="22"/>
          </w:rPr>
          <w:t>507C</w:t>
        </w:r>
      </w:hyperlink>
      <w:r>
        <w:rPr>
          <w:rFonts w:ascii="Times New Roman" w:hAnsi="Times New Roman"/>
          <w:b w:val="false"/>
          <w:i w:val="false"/>
          <w:color w:val="000000"/>
          <w:sz w:val="22"/>
        </w:rPr>
        <w:t>), or other such similar notice, if any;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date that the applicable coverage is terminated;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Ends on the date that is 63 days after the date the coverage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20">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“b,”</w:t>
      </w:r>
      <w:hyperlink r:id="rId221">
        <w:r>
          <w:rPr>
            <w:rStyle w:val="Hyperlink"/>
            <w:rFonts w:ascii="Times New Roman" w:hAnsi="Times New Roman"/>
            <w:b w:val="false"/>
            <w:i w:val="false"/>
            <w:color w:val="000000"/>
            <w:sz w:val="22"/>
          </w:rPr>
          <w:t>subparagraph 37.36(3)</w:t>
        </w:r>
      </w:hyperlink>
      <w:r>
        <w:rPr>
          <w:rFonts w:ascii="Times New Roman" w:hAnsi="Times New Roman"/>
          <w:b w:val="false"/>
          <w:i/>
          <w:color w:val="000000"/>
          <w:sz w:val="22"/>
        </w:rPr>
        <w:t>“d”</w:t>
      </w:r>
      <w:r>
        <w:rPr>
          <w:rFonts w:ascii="Times New Roman" w:hAnsi="Times New Roman"/>
          <w:b w:val="false"/>
          <w:i w:val="false"/>
          <w:color w:val="000000"/>
          <w:sz w:val="22"/>
        </w:rPr>
        <w:t xml:space="preserve">(2) or (3), or </w:t>
      </w:r>
      <w:hyperlink r:id="rId222">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r>
        <w:rPr>
          <w:rFonts w:ascii="Times New Roman" w:hAnsi="Times New Roman"/>
          <w:b w:val="false"/>
          <w:i/>
          <w:color w:val="000000"/>
          <w:sz w:val="22"/>
        </w:rPr>
        <w:t>“f”</w:t>
      </w:r>
      <w:r>
        <w:rPr>
          <w:rFonts w:ascii="Times New Roman" w:hAnsi="Times New Roman"/>
          <w:b w:val="false"/>
          <w:i w:val="false"/>
          <w:color w:val="000000"/>
          <w:sz w:val="22"/>
        </w:rPr>
        <w:t xml:space="preserve"> who disenrolls voluntarily, the guaranteed issue period begins on the date that is 60 days before the effective date of the disenrollment and ends on the date that is 63 days after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23">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“g,”</w:t>
      </w:r>
      <w:r>
        <w:rPr>
          <w:rFonts w:ascii="Times New Roman" w:hAnsi="Times New Roman"/>
          <w:b w:val="false"/>
          <w:i w:val="false"/>
          <w:color w:val="000000"/>
          <w:sz w:val="22"/>
        </w:rPr>
        <w:t xml:space="preserve"> the guaranteed issue period begins on the date the individual receives notice pursuant to </w:t>
      </w:r>
      <w:r>
        <w:rPr>
          <w:rFonts w:ascii="Times New Roman" w:hAnsi="Times New Roman"/>
          <w:b w:val="false"/>
          <w:i w:val="false"/>
          <w:color w:val="000000"/>
          <w:sz w:val="22"/>
        </w:rPr>
        <w:t>Section 1882(v)(2)(B) of the Social Security Act</w:t>
      </w:r>
      <w:r>
        <w:rPr>
          <w:rFonts w:ascii="Times New Roman" w:hAnsi="Times New Roman"/>
          <w:b w:val="false"/>
          <w:i w:val="false"/>
          <w:color w:val="000000"/>
          <w:sz w:val="22"/>
        </w:rPr>
        <w:t xml:space="preserve"> from the Medicare supplement or certificate issuer during the 60-day period immediately preceding the initial Medicare Part D enrollment period and ends on the date that is 63 days after the effective date of the individual’s coverage under Medicare Part 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24">
        <w:r>
          <w:rPr>
            <w:rStyle w:val="Hyperlink"/>
            <w:rFonts w:ascii="Times New Roman" w:hAnsi="Times New Roman"/>
            <w:b w:val="false"/>
            <w:i w:val="false"/>
            <w:color w:val="000000"/>
            <w:sz w:val="22"/>
          </w:rPr>
          <w:t>subrule 37.36(3)</w:t>
        </w:r>
      </w:hyperlink>
      <w:r>
        <w:rPr>
          <w:rFonts w:ascii="Times New Roman" w:hAnsi="Times New Roman"/>
          <w:b w:val="false"/>
          <w:i w:val="false"/>
          <w:color w:val="000000"/>
          <w:sz w:val="22"/>
        </w:rPr>
        <w:t xml:space="preserve"> but not described in the preceding paragraphs </w:t>
      </w:r>
      <w:hyperlink r:id="rId225">
        <w:r>
          <w:rPr>
            <w:rStyle w:val="Hyperlink"/>
            <w:rFonts w:ascii="Times New Roman" w:hAnsi="Times New Roman"/>
            <w:b w:val="false"/>
            <w:i w:val="false"/>
            <w:color w:val="000000"/>
            <w:sz w:val="22"/>
          </w:rPr>
          <w:t>37.36(4)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the guaranteed issue period begins on the effective date of disenrollment and ends on the date that is 63 days after the effective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37.36(5)</w:t>
      </w:r>
      <w:r>
        <w:rPr>
          <w:rFonts w:ascii="Times New Roman" w:hAnsi="Times New Roman"/>
          <w:b w:val="false"/>
          <w:i w:val="false"/>
          <w:color w:val="000000"/>
          <w:sz w:val="22"/>
        </w:rPr>
        <w:t> </w:t>
      </w:r>
      <w:r>
        <w:rPr>
          <w:rFonts w:ascii="Times New Roman" w:hAnsi="Times New Roman"/>
          <w:b w:val="false"/>
          <w:i/>
          <w:color w:val="000000"/>
          <w:sz w:val="22"/>
        </w:rPr>
        <w:t xml:space="preserve">Extended Medigap access for interrupted trial periods.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26">
        <w:r>
          <w:rPr>
            <w:rStyle w:val="Hyperlink"/>
            <w:rFonts w:ascii="Times New Roman" w:hAnsi="Times New Roman"/>
            <w:b w:val="false"/>
            <w:i w:val="false"/>
            <w:color w:val="000000"/>
            <w:sz w:val="22"/>
          </w:rPr>
          <w:t>subrule 37.36(3)</w:t>
        </w:r>
      </w:hyperlink>
      <w:r>
        <w:rPr>
          <w:rFonts w:ascii="Times New Roman" w:hAnsi="Times New Roman"/>
          <w:b w:val="false"/>
          <w:i w:val="false"/>
          <w:color w:val="000000"/>
          <w:sz w:val="22"/>
        </w:rPr>
        <w:t xml:space="preserve"> (or deemed to be so described pursuant to this </w:t>
      </w:r>
      <w:hyperlink r:id="rId227">
        <w:r>
          <w:rPr>
            <w:rStyle w:val="Hyperlink"/>
            <w:rFonts w:ascii="Times New Roman" w:hAnsi="Times New Roman"/>
            <w:b w:val="false"/>
            <w:i w:val="false"/>
            <w:color w:val="000000"/>
            <w:sz w:val="22"/>
          </w:rPr>
          <w:t>paragraph 37.36(5)</w:t>
        </w:r>
      </w:hyperlink>
      <w:r>
        <w:rPr>
          <w:rFonts w:ascii="Times New Roman" w:hAnsi="Times New Roman"/>
          <w:b w:val="false"/>
          <w:i/>
          <w:color w:val="000000"/>
          <w:sz w:val="22"/>
        </w:rPr>
        <w:t>“a”</w:t>
      </w:r>
      <w:r>
        <w:rPr>
          <w:rFonts w:ascii="Times New Roman" w:hAnsi="Times New Roman"/>
          <w:b w:val="false"/>
          <w:i w:val="false"/>
          <w:color w:val="000000"/>
          <w:sz w:val="22"/>
        </w:rPr>
        <w:t xml:space="preserve">) whose enrollment with an organization or provider described in </w:t>
      </w:r>
      <w:hyperlink r:id="rId228">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“e”</w:t>
      </w:r>
      <w:r>
        <w:rPr>
          <w:rFonts w:ascii="Times New Roman" w:hAnsi="Times New Roman"/>
          <w:b w:val="false"/>
          <w:i w:val="false"/>
          <w:color w:val="000000"/>
          <w:sz w:val="22"/>
        </w:rPr>
        <w:t xml:space="preserve"> is involuntarily terminated within the first 12 months of enrollment and who, without an intervening enrollment, enrolls with another such organization or provider, the subsequent enrollment shall be deemed to be an initial enrollment as described in </w:t>
      </w:r>
      <w:hyperlink r:id="rId229">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an individual described in </w:t>
      </w:r>
      <w:hyperlink r:id="rId230">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“f”</w:t>
      </w:r>
      <w:r>
        <w:rPr>
          <w:rFonts w:ascii="Times New Roman" w:hAnsi="Times New Roman"/>
          <w:b w:val="false"/>
          <w:i w:val="false"/>
          <w:color w:val="000000"/>
          <w:sz w:val="22"/>
        </w:rPr>
        <w:t xml:space="preserve"> (or deemed to be so described pursuant to this </w:t>
      </w:r>
      <w:hyperlink r:id="rId231">
        <w:r>
          <w:rPr>
            <w:rStyle w:val="Hyperlink"/>
            <w:rFonts w:ascii="Times New Roman" w:hAnsi="Times New Roman"/>
            <w:b w:val="false"/>
            <w:i w:val="false"/>
            <w:color w:val="000000"/>
            <w:sz w:val="22"/>
          </w:rPr>
          <w:t>paragraph 37.36(5)</w:t>
        </w:r>
      </w:hyperlink>
      <w:r>
        <w:rPr>
          <w:rFonts w:ascii="Times New Roman" w:hAnsi="Times New Roman"/>
          <w:b w:val="false"/>
          <w:i/>
          <w:color w:val="000000"/>
          <w:sz w:val="22"/>
        </w:rPr>
        <w:t>“b”</w:t>
      </w:r>
      <w:r>
        <w:rPr>
          <w:rFonts w:ascii="Times New Roman" w:hAnsi="Times New Roman"/>
          <w:b w:val="false"/>
          <w:i w:val="false"/>
          <w:color w:val="000000"/>
          <w:sz w:val="22"/>
        </w:rPr>
        <w:t xml:space="preserve">) whose enrollment with a plan or in a program described in </w:t>
      </w:r>
      <w:hyperlink r:id="rId232">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“f”</w:t>
      </w:r>
      <w:r>
        <w:rPr>
          <w:rFonts w:ascii="Times New Roman" w:hAnsi="Times New Roman"/>
          <w:b w:val="false"/>
          <w:i w:val="false"/>
          <w:color w:val="000000"/>
          <w:sz w:val="22"/>
        </w:rPr>
        <w:t xml:space="preserve"> is involuntarily terminated within the first 12 months of enrollment and who, without an intervening enrollment, enrolls in another such plan or program, the subsequent enrollment shall be deemed to be an initial enrollment as described in </w:t>
      </w:r>
      <w:hyperlink r:id="rId233">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paragraphs </w:t>
      </w:r>
      <w:hyperlink r:id="rId234">
        <w:r>
          <w:rPr>
            <w:rStyle w:val="Hyperlink"/>
            <w:rFonts w:ascii="Times New Roman" w:hAnsi="Times New Roman"/>
            <w:b w:val="false"/>
            <w:i w:val="false"/>
            <w:color w:val="000000"/>
            <w:sz w:val="22"/>
          </w:rPr>
          <w:t>37.36(3)</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w:t>
      </w:r>
      <w:r>
        <w:rPr>
          <w:rFonts w:ascii="Times New Roman" w:hAnsi="Times New Roman"/>
          <w:b w:val="false"/>
          <w:i/>
          <w:color w:val="000000"/>
          <w:sz w:val="22"/>
        </w:rPr>
        <w:t>“f,”</w:t>
      </w:r>
      <w:r>
        <w:rPr>
          <w:rFonts w:ascii="Times New Roman" w:hAnsi="Times New Roman"/>
          <w:b w:val="false"/>
          <w:i w:val="false"/>
          <w:color w:val="000000"/>
          <w:sz w:val="22"/>
        </w:rPr>
        <w:t xml:space="preserve"> no enrollment of an individual with an organization or provider described in </w:t>
      </w:r>
      <w:hyperlink r:id="rId235">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with a plan or in a program described in </w:t>
      </w:r>
      <w:hyperlink r:id="rId236">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“f,”</w:t>
      </w:r>
      <w:r>
        <w:rPr>
          <w:rFonts w:ascii="Times New Roman" w:hAnsi="Times New Roman"/>
          <w:b w:val="false"/>
          <w:i w:val="false"/>
          <w:color w:val="000000"/>
          <w:sz w:val="22"/>
        </w:rPr>
        <w:t xml:space="preserve"> may be deemed to be an initial enrollment under this </w:t>
      </w:r>
      <w:hyperlink r:id="rId237">
        <w:r>
          <w:rPr>
            <w:rStyle w:val="Hyperlink"/>
            <w:rFonts w:ascii="Times New Roman" w:hAnsi="Times New Roman"/>
            <w:b w:val="false"/>
            <w:i w:val="false"/>
            <w:color w:val="000000"/>
            <w:sz w:val="22"/>
          </w:rPr>
          <w:t>paragraph 37.36(5)</w:t>
        </w:r>
      </w:hyperlink>
      <w:r>
        <w:rPr>
          <w:rFonts w:ascii="Times New Roman" w:hAnsi="Times New Roman"/>
          <w:b w:val="false"/>
          <w:i/>
          <w:color w:val="000000"/>
          <w:sz w:val="22"/>
        </w:rPr>
        <w:t>“c”</w:t>
      </w:r>
      <w:r>
        <w:rPr>
          <w:rFonts w:ascii="Times New Roman" w:hAnsi="Times New Roman"/>
          <w:b w:val="false"/>
          <w:i w:val="false"/>
          <w:color w:val="000000"/>
          <w:sz w:val="22"/>
        </w:rPr>
        <w:t xml:space="preserve"> after the two-year period beginning on the date on which the individual first enrolled with such an organization, provider, plan or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37.36(6)</w:t>
      </w:r>
      <w:r>
        <w:rPr>
          <w:rFonts w:ascii="Times New Roman" w:hAnsi="Times New Roman"/>
          <w:b w:val="false"/>
          <w:i w:val="false"/>
          <w:color w:val="000000"/>
          <w:sz w:val="22"/>
        </w:rPr>
        <w:t> </w:t>
      </w:r>
      <w:r>
        <w:rPr>
          <w:rFonts w:ascii="Times New Roman" w:hAnsi="Times New Roman"/>
          <w:b w:val="false"/>
          <w:i/>
          <w:color w:val="000000"/>
          <w:sz w:val="22"/>
        </w:rPr>
        <w:t xml:space="preserve">Products to which eligible persons are entitled.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individual meets the requirements of </w:t>
      </w:r>
      <w:hyperlink r:id="rId238">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“a,”</w:t>
      </w:r>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the individual may be issued a Medicare supplement policy or certificate which has a benefit package classified as Plan A, B, C, F (including F with a high deductible), K or L offered by any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Medicare supplement policy or certificate to which eligible persons are entitled under </w:t>
      </w:r>
      <w:hyperlink r:id="rId239">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“e,”</w:t>
      </w:r>
      <w:r>
        <w:rPr>
          <w:rFonts w:ascii="Times New Roman" w:hAnsi="Times New Roman"/>
          <w:b w:val="false"/>
          <w:i w:val="false"/>
          <w:color w:val="000000"/>
          <w:sz w:val="22"/>
        </w:rPr>
        <w:t xml:space="preserve"> subject to </w:t>
      </w:r>
      <w:hyperlink r:id="rId240">
        <w:r>
          <w:rPr>
            <w:rStyle w:val="Hyperlink"/>
            <w:rFonts w:ascii="Times New Roman" w:hAnsi="Times New Roman"/>
            <w:b w:val="false"/>
            <w:i w:val="false"/>
            <w:color w:val="000000"/>
            <w:sz w:val="22"/>
          </w:rPr>
          <w:t>paragraph 37.36(6)</w:t>
        </w:r>
      </w:hyperlink>
      <w:r>
        <w:rPr>
          <w:rFonts w:ascii="Times New Roman" w:hAnsi="Times New Roman"/>
          <w:b w:val="false"/>
          <w:i/>
          <w:color w:val="000000"/>
          <w:sz w:val="22"/>
        </w:rPr>
        <w:t>“c,”</w:t>
      </w:r>
      <w:r>
        <w:rPr>
          <w:rFonts w:ascii="Times New Roman" w:hAnsi="Times New Roman"/>
          <w:b w:val="false"/>
          <w:i w:val="false"/>
          <w:color w:val="000000"/>
          <w:sz w:val="22"/>
        </w:rPr>
        <w:t xml:space="preserve"> is the same Medicare supplement policy or certificate in which the individual was most recently previously enrolled if available from the same issuer, or, if not so available, a policy described in </w:t>
      </w:r>
      <w:hyperlink r:id="rId241">
        <w:r>
          <w:rPr>
            <w:rStyle w:val="Hyperlink"/>
            <w:rFonts w:ascii="Times New Roman" w:hAnsi="Times New Roman"/>
            <w:b w:val="false"/>
            <w:i w:val="false"/>
            <w:color w:val="000000"/>
            <w:sz w:val="22"/>
          </w:rPr>
          <w:t>paragraph 37.36(6)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After December 31, 2005, if the individual was most recently enrolled in a Medicare supplement policy or certificate with an outpatient prescription drug benefit, a Medicare supplement policy or certificate described in this subrule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policy available from the same issuer but modified to remove outpatient prescription drug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the election of the individual, an A, B, C, F (including F with a high deductible), K or L policy that is offered by any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Medicare supplement policy or certificate to which eligible persons are entitled under </w:t>
      </w:r>
      <w:hyperlink r:id="rId242">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“f”</w:t>
      </w:r>
      <w:r>
        <w:rPr>
          <w:rFonts w:ascii="Times New Roman" w:hAnsi="Times New Roman"/>
          <w:b w:val="false"/>
          <w:i w:val="false"/>
          <w:color w:val="000000"/>
          <w:sz w:val="22"/>
        </w:rPr>
        <w:t xml:space="preserve"> shall include any Medicare supplement policy or certificate offered by any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Medicare supplement policy or certificate to which eligible persons are entitled under </w:t>
      </w:r>
      <w:hyperlink r:id="rId243">
        <w:r>
          <w:rPr>
            <w:rStyle w:val="Hyperlink"/>
            <w:rFonts w:ascii="Times New Roman" w:hAnsi="Times New Roman"/>
            <w:b w:val="false"/>
            <w:i w:val="false"/>
            <w:color w:val="000000"/>
            <w:sz w:val="22"/>
          </w:rPr>
          <w:t>paragraph 37.36(3)</w:t>
        </w:r>
      </w:hyperlink>
      <w:r>
        <w:rPr>
          <w:rFonts w:ascii="Times New Roman" w:hAnsi="Times New Roman"/>
          <w:b w:val="false"/>
          <w:i/>
          <w:color w:val="000000"/>
          <w:sz w:val="22"/>
        </w:rPr>
        <w:t>“g”</w:t>
      </w:r>
      <w:r>
        <w:rPr>
          <w:rFonts w:ascii="Times New Roman" w:hAnsi="Times New Roman"/>
          <w:b w:val="false"/>
          <w:i w:val="false"/>
          <w:color w:val="000000"/>
          <w:sz w:val="22"/>
        </w:rPr>
        <w:t xml:space="preserve"> is a Medicare supplement policy or certificate that has a benefit package classified as Plan A, B, C, F (including F with a high deductible), K or L, and that is offered and is available for issuance to new enrollees by the same issuer that issued the individual’s Medicare supplement policy or certificate with outpatient prescription drug coverage.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37.36(7)</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an event described in </w:t>
      </w:r>
      <w:hyperlink r:id="rId244">
        <w:r>
          <w:rPr>
            <w:rStyle w:val="Hyperlink"/>
            <w:rFonts w:ascii="Times New Roman" w:hAnsi="Times New Roman"/>
            <w:b w:val="false"/>
            <w:i w:val="false"/>
            <w:color w:val="000000"/>
            <w:sz w:val="22"/>
          </w:rPr>
          <w:t>subrule 37.36(3)</w:t>
        </w:r>
      </w:hyperlink>
      <w:r>
        <w:rPr>
          <w:rFonts w:ascii="Times New Roman" w:hAnsi="Times New Roman"/>
          <w:b w:val="false"/>
          <w:i w:val="false"/>
          <w:color w:val="000000"/>
          <w:sz w:val="22"/>
        </w:rPr>
        <w:t xml:space="preserve"> because of which an individual loses coverage or benefits due to the termination or change of a contract or agreement, policy, or plan, the organization that terminates or changes the contract or agreement, the issuer terminating or changing the policy, or the administrator of the plan being terminated or changed, respectively, shall notify the individual of the individual’s rights under this rule and of the obligations of issuers of Medicare supplement policies or certificates under </w:t>
      </w:r>
      <w:hyperlink r:id="rId245">
        <w:r>
          <w:rPr>
            <w:rStyle w:val="Hyperlink"/>
            <w:rFonts w:ascii="Times New Roman" w:hAnsi="Times New Roman"/>
            <w:b w:val="false"/>
            <w:i w:val="false"/>
            <w:color w:val="000000"/>
            <w:sz w:val="22"/>
          </w:rPr>
          <w:t>subrule 37.36(2)</w:t>
        </w:r>
      </w:hyperlink>
      <w:r>
        <w:rPr>
          <w:rFonts w:ascii="Times New Roman" w:hAnsi="Times New Roman"/>
          <w:b w:val="false"/>
          <w:i w:val="false"/>
          <w:color w:val="000000"/>
          <w:sz w:val="22"/>
        </w:rPr>
        <w:t>. Such notice shall be communicated contemporaneously with the notification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time of an event described in </w:t>
      </w:r>
      <w:hyperlink r:id="rId246">
        <w:r>
          <w:rPr>
            <w:rStyle w:val="Hyperlink"/>
            <w:rFonts w:ascii="Times New Roman" w:hAnsi="Times New Roman"/>
            <w:b w:val="false"/>
            <w:i w:val="false"/>
            <w:color w:val="000000"/>
            <w:sz w:val="22"/>
          </w:rPr>
          <w:t>subrule 37.36(3)</w:t>
        </w:r>
      </w:hyperlink>
      <w:r>
        <w:rPr>
          <w:rFonts w:ascii="Times New Roman" w:hAnsi="Times New Roman"/>
          <w:b w:val="false"/>
          <w:i w:val="false"/>
          <w:color w:val="000000"/>
          <w:sz w:val="22"/>
        </w:rPr>
        <w:t xml:space="preserve"> because of which an individual ceases enrollment under a contract or agreement, policy, or plan, the organization that offers the contract or agreement, regardless of the basis for the cessation of enrollment, the issuer offering the policy, or the administrator of the plan, respectively, shall notify the individual of the individual’s rights under this rule and of the obligations of issuers of Medicare supplement policies or certificates under </w:t>
      </w:r>
      <w:hyperlink r:id="rId247">
        <w:r>
          <w:rPr>
            <w:rStyle w:val="Hyperlink"/>
            <w:rFonts w:ascii="Times New Roman" w:hAnsi="Times New Roman"/>
            <w:b w:val="false"/>
            <w:i w:val="false"/>
            <w:color w:val="000000"/>
            <w:sz w:val="22"/>
          </w:rPr>
          <w:t>subrule 37.36(3)</w:t>
        </w:r>
      </w:hyperlink>
      <w:r>
        <w:rPr>
          <w:rFonts w:ascii="Times New Roman" w:hAnsi="Times New Roman"/>
          <w:b w:val="false"/>
          <w:i w:val="false"/>
          <w:color w:val="000000"/>
          <w:sz w:val="22"/>
        </w:rPr>
        <w:t>. Such notice shall be communicated within ten working days of the issuer receiving notification of the disenrollment.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191—37.37</w:t>
      </w:r>
      <w:r>
        <w:rPr>
          <w:rFonts w:ascii="Times New Roman" w:hAnsi="Times New Roman"/>
          <w:b w:val="false"/>
          <w:i w:val="false"/>
          <w:color w:val="000000"/>
          <w:sz w:val="22"/>
        </w:rPr>
        <w:t xml:space="preserve"> to </w:t>
      </w:r>
      <w:r>
        <w:rPr>
          <w:rFonts w:ascii="Times New Roman" w:hAnsi="Times New Roman"/>
          <w:b/>
          <w:i w:val="false"/>
          <w:color w:val="000000"/>
          <w:sz w:val="22"/>
        </w:rPr>
        <w:t>37.49</w:t>
      </w:r>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i w:val="false"/>
          <w:color w:val="000000"/>
          <w:sz w:val="22"/>
        </w:rPr>
        <w:t>191—37.50</w:t>
      </w:r>
      <w:r>
        <w:rPr>
          <w:rFonts w:ascii="Times New Roman" w:hAnsi="Times New Roman"/>
          <w:b/>
          <w:i w:val="false"/>
          <w:color w:val="000000"/>
          <w:sz w:val="22"/>
        </w:rPr>
        <w:t xml:space="preserve">(507B,514D) </w:t>
      </w:r>
      <w:r>
        <w:rPr>
          <w:rFonts w:ascii="Times New Roman" w:hAnsi="Times New Roman"/>
          <w:b/>
          <w:i w:val="false"/>
          <w:color w:val="000000"/>
          <w:sz w:val="22"/>
        </w:rPr>
        <w:t xml:space="preserve">Medicare supplement advertising.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rule is to provide prospective purchasers with clear and unambiguous statements in the advertisement of Medicare supplement insurance and to ensure the clear and truthful disclosure of the benefits, limitations and exclusions of policies sold as Medicare supplement insurance. This purpose is intended to be accomplished by the establishment of guidelines and permissible and impermissible standards of conduct in the advertising of Medicare supplement insurance in a manner which prevents unfair, deceptive and misleading advertising and which is conducive to accurate presentation and description to the insurance-buying public through the advertising media and material used by producers and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37.50(2)</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shall apply to any “advertisement” of Medicare supplement insurance, as that term is defined in </w:t>
      </w:r>
      <w:hyperlink r:id="rId248">
        <w:r>
          <w:rPr>
            <w:rStyle w:val="Hyperlink"/>
            <w:rFonts w:ascii="Times New Roman" w:hAnsi="Times New Roman"/>
            <w:b w:val="false"/>
            <w:i w:val="false"/>
            <w:color w:val="000000"/>
            <w:sz w:val="22"/>
          </w:rPr>
          <w:t>subrule 37.50(3)</w:t>
        </w:r>
      </w:hyperlink>
      <w:r>
        <w:rPr>
          <w:rFonts w:ascii="Times New Roman" w:hAnsi="Times New Roman"/>
          <w:b w:val="false"/>
          <w:i w:val="false"/>
          <w:color w:val="000000"/>
          <w:sz w:val="22"/>
        </w:rPr>
        <w:t>, unless otherwise specified in this rule, that the issuer or producer knows or reasonably should know is intended for presentation, distribution or dissemination in this state when the presentation, distribution or dissemination is made either directly or indirectly by or on behalf of an issuer or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of Iowa Code chapter </w:t>
      </w:r>
      <w:hyperlink r:id="rId249">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w:t>
      </w:r>
      <w:hyperlink r:id="rId250">
        <w:r>
          <w:rPr>
            <w:rStyle w:val="Hyperlink"/>
            <w:rFonts w:ascii="Times New Roman" w:hAnsi="Times New Roman"/>
            <w:b w:val="false"/>
            <w:i w:val="false"/>
            <w:color w:val="000000"/>
            <w:sz w:val="22"/>
          </w:rPr>
          <w:t>191—Chapter 15</w:t>
        </w:r>
      </w:hyperlink>
      <w:r>
        <w:rPr>
          <w:rFonts w:ascii="Times New Roman" w:hAnsi="Times New Roman"/>
          <w:b w:val="false"/>
          <w:i w:val="false"/>
          <w:color w:val="000000"/>
          <w:sz w:val="22"/>
        </w:rPr>
        <w:t xml:space="preserve"> also shall apply to issuers and producers to which this rule </w:t>
      </w:r>
      <w:hyperlink r:id="rId251">
        <w:r>
          <w:rPr>
            <w:rStyle w:val="Hyperlink"/>
            <w:rFonts w:ascii="Times New Roman" w:hAnsi="Times New Roman"/>
            <w:b w:val="false"/>
            <w:i w:val="false"/>
            <w:color w:val="000000"/>
            <w:sz w:val="22"/>
          </w:rPr>
          <w:t>191—37.50</w:t>
        </w:r>
      </w:hyperlink>
      <w:r>
        <w:rPr>
          <w:rFonts w:ascii="Times New Roman" w:hAnsi="Times New Roman"/>
          <w:b w:val="false"/>
          <w:i w:val="false"/>
          <w:color w:val="000000"/>
          <w:sz w:val="22"/>
        </w:rPr>
        <w:t>(507B,514D) applies, unless specifically exempted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37.50(3)</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In addition to the definitions in Iowa Code sections </w:t>
      </w:r>
      <w:hyperlink r:id="rId252">
        <w:r>
          <w:rPr>
            <w:rStyle w:val="Hyperlink"/>
            <w:rFonts w:ascii="Times New Roman" w:hAnsi="Times New Roman"/>
            <w:b w:val="false"/>
            <w:i w:val="false"/>
            <w:color w:val="000000"/>
            <w:sz w:val="22"/>
          </w:rPr>
          <w:t>507B.2</w:t>
        </w:r>
      </w:hyperlink>
      <w:r>
        <w:rPr>
          <w:rFonts w:ascii="Times New Roman" w:hAnsi="Times New Roman"/>
          <w:b w:val="false"/>
          <w:i w:val="false"/>
          <w:color w:val="000000"/>
          <w:sz w:val="22"/>
        </w:rPr>
        <w:t xml:space="preserve"> and </w:t>
      </w:r>
      <w:hyperlink r:id="rId253">
        <w:r>
          <w:rPr>
            <w:rStyle w:val="Hyperlink"/>
            <w:rFonts w:ascii="Times New Roman" w:hAnsi="Times New Roman"/>
            <w:b w:val="false"/>
            <w:i w:val="false"/>
            <w:color w:val="000000"/>
            <w:sz w:val="22"/>
          </w:rPr>
          <w:t>514D.2</w:t>
        </w:r>
      </w:hyperlink>
      <w:r>
        <w:rPr>
          <w:rFonts w:ascii="Times New Roman" w:hAnsi="Times New Roman"/>
          <w:b w:val="false"/>
          <w:i w:val="false"/>
          <w:color w:val="000000"/>
          <w:sz w:val="22"/>
        </w:rPr>
        <w:t xml:space="preserve"> and rules </w:t>
      </w:r>
      <w:hyperlink r:id="rId254">
        <w:r>
          <w:rPr>
            <w:rStyle w:val="Hyperlink"/>
            <w:rFonts w:ascii="Times New Roman" w:hAnsi="Times New Roman"/>
            <w:b w:val="false"/>
            <w:i w:val="false"/>
            <w:color w:val="000000"/>
            <w:sz w:val="22"/>
          </w:rPr>
          <w:t>191—15.2</w:t>
        </w:r>
      </w:hyperlink>
      <w:r>
        <w:rPr>
          <w:rFonts w:ascii="Times New Roman" w:hAnsi="Times New Roman"/>
          <w:b w:val="false"/>
          <w:i w:val="false"/>
          <w:color w:val="000000"/>
          <w:sz w:val="22"/>
        </w:rPr>
        <w:t xml:space="preserve">(507B) and </w:t>
      </w:r>
      <w:hyperlink r:id="rId255">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 xml:space="preserve">(514D), the following definitions shall apply to this rule </w:t>
      </w:r>
      <w:hyperlink r:id="rId256">
        <w:r>
          <w:rPr>
            <w:rStyle w:val="Hyperlink"/>
            <w:rFonts w:ascii="Times New Roman" w:hAnsi="Times New Roman"/>
            <w:b w:val="false"/>
            <w:i w:val="false"/>
            <w:color w:val="000000"/>
            <w:sz w:val="22"/>
          </w:rPr>
          <w:t>191—37.50</w:t>
        </w:r>
      </w:hyperlink>
      <w:r>
        <w:rPr>
          <w:rFonts w:ascii="Times New Roman" w:hAnsi="Times New Roman"/>
          <w:b w:val="false"/>
          <w:i w:val="false"/>
          <w:color w:val="000000"/>
          <w:sz w:val="22"/>
        </w:rPr>
        <w:t xml:space="preserve">(507B,514D). When a term defined in this rule is also defined in Iowa Code section </w:t>
      </w:r>
      <w:hyperlink r:id="rId257">
        <w:r>
          <w:rPr>
            <w:rStyle w:val="Hyperlink"/>
            <w:rFonts w:ascii="Times New Roman" w:hAnsi="Times New Roman"/>
            <w:b w:val="false"/>
            <w:i w:val="false"/>
            <w:color w:val="000000"/>
            <w:sz w:val="22"/>
          </w:rPr>
          <w:t>507B.2</w:t>
        </w:r>
      </w:hyperlink>
      <w:r>
        <w:rPr>
          <w:rFonts w:ascii="Times New Roman" w:hAnsi="Times New Roman"/>
          <w:b w:val="false"/>
          <w:i w:val="false"/>
          <w:color w:val="000000"/>
          <w:sz w:val="22"/>
        </w:rPr>
        <w:t xml:space="preserve"> or </w:t>
      </w:r>
      <w:hyperlink r:id="rId258">
        <w:r>
          <w:rPr>
            <w:rStyle w:val="Hyperlink"/>
            <w:rFonts w:ascii="Times New Roman" w:hAnsi="Times New Roman"/>
            <w:b w:val="false"/>
            <w:i w:val="false"/>
            <w:color w:val="000000"/>
            <w:sz w:val="22"/>
          </w:rPr>
          <w:t>514D.2</w:t>
        </w:r>
      </w:hyperlink>
      <w:r>
        <w:rPr>
          <w:rFonts w:ascii="Times New Roman" w:hAnsi="Times New Roman"/>
          <w:b w:val="false"/>
          <w:i w:val="false"/>
          <w:color w:val="000000"/>
          <w:sz w:val="22"/>
        </w:rPr>
        <w:t xml:space="preserve"> or rule </w:t>
      </w:r>
      <w:hyperlink r:id="rId259">
        <w:r>
          <w:rPr>
            <w:rStyle w:val="Hyperlink"/>
            <w:rFonts w:ascii="Times New Roman" w:hAnsi="Times New Roman"/>
            <w:b w:val="false"/>
            <w:i w:val="false"/>
            <w:color w:val="000000"/>
            <w:sz w:val="22"/>
          </w:rPr>
          <w:t>191—15.2</w:t>
        </w:r>
      </w:hyperlink>
      <w:r>
        <w:rPr>
          <w:rFonts w:ascii="Times New Roman" w:hAnsi="Times New Roman"/>
          <w:b w:val="false"/>
          <w:i w:val="false"/>
          <w:color w:val="000000"/>
          <w:sz w:val="22"/>
        </w:rPr>
        <w:t xml:space="preserve">(507B) or </w:t>
      </w:r>
      <w:hyperlink r:id="rId260">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(514D), the definition of the term in this rule shall take precedence.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“Advertisement”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Includes the definition of “advertisement” in rule </w:t>
      </w:r>
      <w:hyperlink r:id="rId261">
        <w:r>
          <w:rPr>
            <w:rStyle w:val="Hyperlink"/>
            <w:rFonts w:ascii="Times New Roman" w:hAnsi="Times New Roman"/>
            <w:b w:val="false"/>
            <w:i w:val="false"/>
            <w:color w:val="000000"/>
            <w:sz w:val="22"/>
          </w:rPr>
          <w:t>191—15.2</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Includes advertising material included with a Medicare supplement policy or certificate when the Medicare supplement policy or certificate is delivered and the advertising material is used in the solicitation of Medicare supplement policy renewals and reinstatements.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Does not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The items excluded in paragraph “2” of the definition of “advertisement” in rule </w:t>
      </w:r>
      <w:hyperlink r:id="rId262">
        <w:r>
          <w:rPr>
            <w:rStyle w:val="Hyperlink"/>
            <w:rFonts w:ascii="Times New Roman" w:hAnsi="Times New Roman"/>
            <w:b w:val="false"/>
            <w:i w:val="false"/>
            <w:color w:val="000000"/>
            <w:sz w:val="22"/>
          </w:rPr>
          <w:t>191—15.2</w:t>
        </w:r>
      </w:hyperlink>
      <w:r>
        <w:rPr>
          <w:rFonts w:ascii="Times New Roman" w:hAnsi="Times New Roman"/>
          <w:b w:val="false"/>
          <w:i w:val="false"/>
          <w:color w:val="000000"/>
          <w:sz w:val="22"/>
        </w:rPr>
        <w:t>(507B).</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Material to be used solely for the training and education of an issuer’s employees, producers, agents or brokers.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Material used in-house by issuers.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Communications within an issuer’s own organization not intended for dissemination to the public.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Individual communications of a personal nature with current covered individuals other than material urging the covered individuals to increase or expand coverage.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Correspondence between a prospective group or blanket policyholder and an issuer in the course of negotiating a group or blanket Medicare supplement policy.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Court-approved material ordered by a court to be disseminated to covered individuals or group policyholders of Medicare supplement policies.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general announcement from a group or blanket Medicare supplement policyholder to eligible individuals on an employment or membership list that a Medicare supplement policy has been written or arranged; provided the announcement clearly indicates that it is preliminary to the issuance of a booklet.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means any certificate issued under a group Medicare supplement policy, which certificate has been delivered or issued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“Exception” </w:t>
      </w:r>
      <w:r>
        <w:rPr>
          <w:rFonts w:ascii="Times New Roman" w:hAnsi="Times New Roman"/>
          <w:b w:val="false"/>
          <w:i w:val="false"/>
          <w:color w:val="000000"/>
          <w:sz w:val="22"/>
        </w:rPr>
        <w:t>means any provision in a Medicare supplement policy whereby coverage for a specified hazard is entirely eliminated; it is a statement of a risk not assumed under the Medicare supplement policy or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“Institutional advertisement” </w:t>
      </w:r>
      <w:r>
        <w:rPr>
          <w:rFonts w:ascii="Times New Roman" w:hAnsi="Times New Roman"/>
          <w:b w:val="false"/>
          <w:i w:val="false"/>
          <w:color w:val="000000"/>
          <w:sz w:val="22"/>
        </w:rPr>
        <w:t>means an advertisement having as its sole purpose the promotion of the reader’s, viewer’s or listener’s interest in the concept of Medicare supplement insurance, or the promotion of the issuer as a seller of Medicare supplement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“Invitation to contract” </w:t>
      </w:r>
      <w:r>
        <w:rPr>
          <w:rFonts w:ascii="Times New Roman" w:hAnsi="Times New Roman"/>
          <w:b w:val="false"/>
          <w:i w:val="false"/>
          <w:color w:val="000000"/>
          <w:sz w:val="22"/>
        </w:rPr>
        <w:t xml:space="preserve">means an advertisement that is neither an institutional advertisement nor an invitation to inquire (defined in </w:t>
      </w:r>
      <w:hyperlink r:id="rId263">
        <w:r>
          <w:rPr>
            <w:rStyle w:val="Hyperlink"/>
            <w:rFonts w:ascii="Times New Roman" w:hAnsi="Times New Roman"/>
            <w:b w:val="false"/>
            <w:i w:val="false"/>
            <w:color w:val="000000"/>
            <w:sz w:val="22"/>
          </w:rPr>
          <w:t>paragraph 37.50(8)</w:t>
        </w:r>
      </w:hyperlink>
      <w:r>
        <w:rPr>
          <w:rFonts w:ascii="Times New Roman" w:hAnsi="Times New Roman"/>
          <w:b w:val="false"/>
          <w:i/>
          <w:color w:val="000000"/>
          <w:sz w:val="22"/>
        </w:rPr>
        <w:t>“d”</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“Issuer” </w:t>
      </w:r>
      <w:r>
        <w:rPr>
          <w:rFonts w:ascii="Times New Roman" w:hAnsi="Times New Roman"/>
          <w:b w:val="false"/>
          <w:i w:val="false"/>
          <w:color w:val="000000"/>
          <w:sz w:val="22"/>
        </w:rPr>
        <w:t xml:space="preserve">shall include any entity which is defined as an “issuer” in rule </w:t>
      </w:r>
      <w:hyperlink r:id="rId264">
        <w:r>
          <w:rPr>
            <w:rStyle w:val="Hyperlink"/>
            <w:rFonts w:ascii="Times New Roman" w:hAnsi="Times New Roman"/>
            <w:b w:val="false"/>
            <w:i w:val="false"/>
            <w:color w:val="000000"/>
            <w:sz w:val="22"/>
          </w:rPr>
          <w:t>191—37.3</w:t>
        </w:r>
      </w:hyperlink>
      <w:r>
        <w:rPr>
          <w:rFonts w:ascii="Times New Roman" w:hAnsi="Times New Roman"/>
          <w:b w:val="false"/>
          <w:i w:val="false"/>
          <w:color w:val="000000"/>
          <w:sz w:val="22"/>
        </w:rPr>
        <w:t>(514D) and is engaged in the advertisement of itself, or of Medicare supplement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“Lead-generating device” </w:t>
      </w:r>
      <w:r>
        <w:rPr>
          <w:rFonts w:ascii="Times New Roman" w:hAnsi="Times New Roman"/>
          <w:b w:val="false"/>
          <w:i w:val="false"/>
          <w:color w:val="000000"/>
          <w:sz w:val="22"/>
        </w:rPr>
        <w:t>means any communication directed to the public that, regardless of form, content or stated purpose, is intended to result in the compilation or qualification of a list containing names and other personal information to be used to solicit residents of this state for the purchase of Medicare supplement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“Limitation” </w:t>
      </w:r>
      <w:r>
        <w:rPr>
          <w:rFonts w:ascii="Times New Roman" w:hAnsi="Times New Roman"/>
          <w:b w:val="false"/>
          <w:i w:val="false"/>
          <w:color w:val="000000"/>
          <w:sz w:val="22"/>
        </w:rPr>
        <w:t>means any provision other than an exception or a reduction that restricts coverage under a Medicare supplement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“Medicare supplement insurance” </w:t>
      </w:r>
      <w:r>
        <w:rPr>
          <w:rFonts w:ascii="Times New Roman" w:hAnsi="Times New Roman"/>
          <w:b w:val="false"/>
          <w:i w:val="false"/>
          <w:color w:val="000000"/>
          <w:sz w:val="22"/>
        </w:rPr>
        <w:t>means a group or individual policy of accident and sickness insurance or a contract of hospital and medical service associations or health maintenance organizations that is advertised, marketed or designed primarily as a supplement to reimbursements under Medicare for the hospital, medical, or surgical expenses of persons eligible for Medicare by reason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 natural person, association, organization, partnership, trust, group, discretionary group, corporation or any other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“Reduction” </w:t>
      </w:r>
      <w:r>
        <w:rPr>
          <w:rFonts w:ascii="Times New Roman" w:hAnsi="Times New Roman"/>
          <w:b w:val="false"/>
          <w:i w:val="false"/>
          <w:color w:val="000000"/>
          <w:sz w:val="22"/>
        </w:rPr>
        <w:t>means any provision that reduces the amount of the benefit; a risk of loss is assumed but payment upon the occurrence of the loss is limited to some amount or period less than would be otherwise payable had the reduction not been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37.50(4)</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 of advertisements.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issuer shall clearly identify its Medicare supplement insurance as an insurance policy or certificate. A Medicare supplement policy or certificate trade name must be followed by the words “Insurance Policy” or similar words clearly identifying the fact that an insurance policy or certificate or health benefits product (in the case of health maintenance organizations, prepaid health plans and other direct service organizations) is being offered.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Medicare supplement insurance advertising materials that are reproduced in quantity shall be identified by form numbers or other identifying means. The identification shall be sufficient to distinguish an advertisement from any other advertising materials, policies, applications or other materials used by the issuer.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37.50(5)</w:t>
      </w:r>
      <w:r>
        <w:rPr>
          <w:rFonts w:ascii="Times New Roman" w:hAnsi="Times New Roman"/>
          <w:b w:val="false"/>
          <w:i w:val="false"/>
          <w:color w:val="000000"/>
          <w:sz w:val="22"/>
        </w:rPr>
        <w:t> </w:t>
      </w:r>
      <w:r>
        <w:rPr>
          <w:rFonts w:ascii="Times New Roman" w:hAnsi="Times New Roman"/>
          <w:b w:val="false"/>
          <w:i/>
          <w:color w:val="000000"/>
          <w:sz w:val="22"/>
        </w:rPr>
        <w:t xml:space="preserve">Testimonials or endorsements by third parties. </w:t>
      </w:r>
      <w:r>
        <w:rPr>
          <w:rFonts w:ascii="Times New Roman" w:hAnsi="Times New Roman"/>
          <w:b w:val="false"/>
          <w:i w:val="false"/>
          <w:color w:val="000000"/>
          <w:sz w:val="22"/>
        </w:rPr>
        <w:t xml:space="preserve">In addition to complying with </w:t>
      </w:r>
      <w:hyperlink r:id="rId265">
        <w:r>
          <w:rPr>
            <w:rStyle w:val="Hyperlink"/>
            <w:rFonts w:ascii="Times New Roman" w:hAnsi="Times New Roman"/>
            <w:b w:val="false"/>
            <w:i w:val="false"/>
            <w:color w:val="000000"/>
            <w:sz w:val="22"/>
          </w:rPr>
          <w:t>191—subrule 15.3(7)</w:t>
        </w:r>
      </w:hyperlink>
      <w:r>
        <w:rPr>
          <w:rFonts w:ascii="Times New Roman" w:hAnsi="Times New Roman"/>
          <w:b w:val="false"/>
          <w:i w:val="false"/>
          <w:color w:val="000000"/>
          <w:sz w:val="22"/>
        </w:rPr>
        <w:t>, when a testimonial refers to benefits received under a Medicare supplement policy or certificate, the issuer shall retain for examination by the commissioner the specific claim data, including claim number, date of loss, and other pertinent information, for a period of four years or until the filing of the next regular report of examination of the issuer, whichever is the longer period of time. The use of testimonials that do not correctly reflect the present practices of the issuer or that are not applicable to the Medicare supplement policy or certificate or benefit being advertised is not permissible.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37.50(6)</w:t>
      </w:r>
      <w:r>
        <w:rPr>
          <w:rFonts w:ascii="Times New Roman" w:hAnsi="Times New Roman"/>
          <w:b w:val="false"/>
          <w:i w:val="false"/>
          <w:color w:val="000000"/>
          <w:sz w:val="22"/>
        </w:rPr>
        <w:t> </w:t>
      </w:r>
      <w:r>
        <w:rPr>
          <w:rFonts w:ascii="Times New Roman" w:hAnsi="Times New Roman"/>
          <w:b w:val="false"/>
          <w:i/>
          <w:color w:val="000000"/>
          <w:sz w:val="22"/>
        </w:rPr>
        <w:t xml:space="preserve">Use of statistics; jurisdictional licensing; status of insurer. </w:t>
      </w:r>
      <w:r>
        <w:rPr>
          <w:rFonts w:ascii="Times New Roman" w:hAnsi="Times New Roman"/>
          <w:b w:val="false"/>
          <w:i w:val="false"/>
          <w:color w:val="000000"/>
          <w:sz w:val="22"/>
        </w:rPr>
        <w:t xml:space="preserve">Medicare supplement insurance advertisements shall be in compliance with </w:t>
      </w:r>
      <w:hyperlink r:id="rId266">
        <w:r>
          <w:rPr>
            <w:rStyle w:val="Hyperlink"/>
            <w:rFonts w:ascii="Times New Roman" w:hAnsi="Times New Roman"/>
            <w:b w:val="false"/>
            <w:i w:val="false"/>
            <w:color w:val="000000"/>
            <w:sz w:val="22"/>
          </w:rPr>
          <w:t>191—subrule 15.3(5)</w:t>
        </w:r>
      </w:hyperlink>
      <w:r>
        <w:rPr>
          <w:rFonts w:ascii="Times New Roman" w:hAnsi="Times New Roman"/>
          <w:b w:val="false"/>
          <w:i w:val="false"/>
          <w:color w:val="000000"/>
          <w:sz w:val="22"/>
        </w:rPr>
        <w:t xml:space="preserve"> and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Medicare supplement insurance advertisement shall specifically identify the Medicare supplement policy or certificate to which statistics relate and, where statistics are given which are applicable to a different policy or certificate, the advertisement shall state clearly that the data do not relate to the Medicare supplement policy or certificate being advertised.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Medicare supplement insurance advertisement that is intended to be seen or heard beyond the limits of the jurisdiction in which the issuer is licensed shall not imply licensing beyond those limits.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Medicare supplement insurance advertisement shall not create the impression directly or indirectly that the issuer, the issuer’s financial condition or status, the issuer’s payment of its claims, or the merits, desirability or advisability of the issuer’s policy forms or kinds of plans of insurance are approved, endorsed or accredited by any division or agency of this state or of the United States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Medicare supplement insurance advertisement shall not imply that approval, endorsement or accreditation of policy forms or advertising has been granted by any division or agency of this state or of the United States government. “Approval” of either policy forms or advertising shall not be used by an issuer to imply or state that a governmental agency has endorsed or recommended the issuer, its policies, its advertising or its financial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37.50(7)</w:t>
      </w:r>
      <w:r>
        <w:rPr>
          <w:rFonts w:ascii="Times New Roman" w:hAnsi="Times New Roman"/>
          <w:b w:val="false"/>
          <w:i w:val="false"/>
          <w:color w:val="000000"/>
          <w:sz w:val="22"/>
        </w:rPr>
        <w:t> </w:t>
      </w:r>
      <w:r>
        <w:rPr>
          <w:rFonts w:ascii="Times New Roman" w:hAnsi="Times New Roman"/>
          <w:b w:val="false"/>
          <w:i/>
          <w:color w:val="000000"/>
          <w:sz w:val="22"/>
        </w:rPr>
        <w:t xml:space="preserve">Identity of issuer. </w:t>
      </w:r>
      <w:r>
        <w:rPr>
          <w:rFonts w:ascii="Times New Roman" w:hAnsi="Times New Roman"/>
          <w:b w:val="false"/>
          <w:i w:val="false"/>
          <w:color w:val="000000"/>
          <w:sz w:val="22"/>
        </w:rPr>
        <w:t xml:space="preserve">Advertisements shall be in compliance with </w:t>
      </w:r>
      <w:hyperlink r:id="rId267">
        <w:r>
          <w:rPr>
            <w:rStyle w:val="Hyperlink"/>
            <w:rFonts w:ascii="Times New Roman" w:hAnsi="Times New Roman"/>
            <w:b w:val="false"/>
            <w:i w:val="false"/>
            <w:color w:val="000000"/>
            <w:sz w:val="22"/>
          </w:rPr>
          <w:t>191—subrule 15.3(9)</w:t>
        </w:r>
      </w:hyperlink>
      <w:r>
        <w:rPr>
          <w:rFonts w:ascii="Times New Roman" w:hAnsi="Times New Roman"/>
          <w:b w:val="false"/>
          <w:i w:val="false"/>
          <w:color w:val="000000"/>
          <w:sz w:val="22"/>
        </w:rPr>
        <w:t xml:space="preserve"> and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Advertisements, stationery or envelopes that employ words, letters, initials, symbols or other devices are not permitted if they are so similar to those used by governmental agencies or other issuers that they may lead the public to believe: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advertised Medicare supplement insurance coverages are somehow provided by or are endorsed by the governmental agencies or the other issuers;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Medicare supplement insurance advertiser is the same as, is connected with or is endorsed by the governmental agencies or the other issuers.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Medicare supplement insurance advertisement shall use the name of a state or political subdivision thereof in a policy name or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Medicare supplement insurance advertisement in the form of envelopes or stationery of any kind may use any name, service mark, slogan, symbol or any device in such a manner that implies that the issuer or the policy advertised, or that any producer who may call upon the consumer in response to the advertisement, is connected with a governmental agency, such as the Social Security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Medicare supplement insurance advertisement may incorporate the word “Medicare” in the title of the plan or policy being advertised unless, wherever it appears, the word is qualified by language differentiating the plan or policy from Medicare. Such an advertisement, however, shall not use the phrase “_____________ Medicare Department of the _________________ Insurance Company,” or language of similar import.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Medicare supplement insurance advertisement shall be used that fails to include a disclaimer to the effect of “Not connected with or endorsed by the U.S. government or the federal Medicare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Medicare supplement insurance advertisement may imply that the reader may lose a right, privilege or benefit under federal, state or local law if the reader fails to respond to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issuer may use, in the trade name of its Medicare supplement insurance policy, any terminology or words so similar to the name of a governmental agency or governmental program as to have the tendency to confuse, deceive or mislead the prospective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Medicare supplement insurance advertisements used by producers or solicitors of an issuer shall have prior written approval of the issuer before the advertisements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producer who makes contact with a consumer as a result of acquiring that consumer’s name from a lead-generating device shall disclose that fact in the initial contact with the consumer.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37.50(8)</w:t>
      </w:r>
      <w:r>
        <w:rPr>
          <w:rFonts w:ascii="Times New Roman" w:hAnsi="Times New Roman"/>
          <w:b w:val="false"/>
          <w:i w:val="false"/>
          <w:color w:val="000000"/>
          <w:sz w:val="22"/>
        </w:rPr>
        <w:t> </w:t>
      </w:r>
      <w:r>
        <w:rPr>
          <w:rFonts w:ascii="Times New Roman" w:hAnsi="Times New Roman"/>
          <w:b w:val="false"/>
          <w:i/>
          <w:color w:val="000000"/>
          <w:sz w:val="22"/>
        </w:rPr>
        <w:t xml:space="preserve">Introductory, initial or special offers.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Enrollment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advertisement of an individual Medicare supplement insurance policy shall not directly or by implication represent that a contract or combination of contracts is an introductory, initial or special offer, or that applicants will receive substantial advantages not available at a later date, or that the offer is available only to a specified group of individuals, unless such representation is true. A Medicare supplement insurance advertisement shall not contain phrases describing an enrollment period as “special,” “limited,” or similar words or phrases when the issuer uses such enrollment periods as the usual method of advertising Medicare supplement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enrollment period during which a particular Medicare supplement insurance product may be purchased on an individual basis shall not be offered within this state unless there has been a lapse of not less than six months between the close of the immediately preceding enrollment period for the same product and the opening of the new enrollment period. The Medicare supplement insurance advertisement shall indicate the date by which the applicant must mail the application, which shall be not fewer than 10 days and not more than 40 days from the date that the enrollment period is advertised for the first time. This rule applies to all advertising media, e.g., mail, newspapers, electronic mail, websites, radio, television, magazines and periodicals, used by any one issuer. This rule is not applicable to solicitations of employees or members of a particular group or association that otherwise would be eligible for group, blanket or franchise insurance. The phrase “any one issuer” in this subparagraph includes all the affiliated companies of a group of insurance companies under common management or control. The phrase “a particular Medicare supplement insurance product” in this subparagraph means an insurance policy that provides benefits substantially different from those contained in any other policy. Different terms of renewability, an increase or decrease in the dollar amounts of benefits, or an increase or decrease in any elimination period or waiting period from those available during an enrollment period for another policy shall not be sufficient to constitute the product’s being offered as a different product eligible for concurrent or overlapping enrollment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rule prohibits any statement or implication to the effect that only a specific number of Medicare supplement policies will be sold, or that a time is fixed for the discontinuance of the sale of the particular Medicare supplement policy advertised because of special advantages available in the policy, unless either representation is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advertisement shall not offer a Medicare supplement policy that utilizes a reduced initial premium rate in a manner that overemphasizes the availability and the amount of the initial reduced premium. When an issuer charges an initial premium that differs in amount from the amount of the renewal premium payable on the same mode, the advertisement shall not display the amount of the reduced initial premium either more frequently or more prominently than the renewal premium, and both the initial reduced premium and the renewal premium shall be stated in juxtaposition in each portion of the advertisement where the initial reduced premium appears. The term “juxtaposition” means side by side or immediately above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Special awards, such as a “safe driver’s award,” shall not be used in connection with advertisements of Medicare supplement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invitation to inquire, which means an advertisement having as its objective the creation of a desire to inquire further about Medicare supplement insurance that is limited to a brief description of coverage, shall contain a provision in the following or substantially similar form:</w:t>
      </w:r>
    </w:p>
    <w:p>
      <w:pPr>
        <w:spacing w:before="0" w:after="0"/>
        <w:ind w:left="120"/>
        <w:jc w:val="both"/>
      </w:pPr>
      <w:r>
        <w:rPr>
          <w:rFonts w:ascii="Times New Roman" w:hAnsi="Times New Roman"/>
          <w:b w:val="false"/>
          <w:i w:val="false"/>
          <w:color w:val="000000"/>
          <w:sz w:val="22"/>
        </w:rPr>
        <w:t>“This policy has [exclusions] [limitations] [reductions of benefits] [terms under which the policy may be continued in force or discontinued]. For costs and complete details of the coverage, call [or write] your producer or the company [whichever is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37.50(9)</w:t>
      </w:r>
      <w:r>
        <w:rPr>
          <w:rFonts w:ascii="Times New Roman" w:hAnsi="Times New Roman"/>
          <w:b w:val="false"/>
          <w:i w:val="false"/>
          <w:color w:val="000000"/>
          <w:sz w:val="22"/>
        </w:rPr>
        <w:t> </w:t>
      </w:r>
      <w:r>
        <w:rPr>
          <w:rFonts w:ascii="Times New Roman" w:hAnsi="Times New Roman"/>
          <w:b w:val="false"/>
          <w:i/>
          <w:color w:val="000000"/>
          <w:sz w:val="22"/>
        </w:rPr>
        <w:t xml:space="preserve">Enforcement procedures—certificate of compliance. </w:t>
      </w:r>
      <w:r>
        <w:rPr>
          <w:rFonts w:ascii="Times New Roman" w:hAnsi="Times New Roman"/>
          <w:b w:val="false"/>
          <w:i w:val="false"/>
          <w:color w:val="000000"/>
          <w:sz w:val="22"/>
        </w:rPr>
        <w:t>Each issuer required to file an annual statement which is now or which hereafter becomes subject to the provisions of this chapter must file with the insurance division, with the issuer’s annual statement, a certificate of compliance executed by an authorized officer of the issuer wherein it is stated that, to the best of the authorized officer’s knowledge, information and belief, the Medicare supplement insurance advertisements that were disseminated by the issuer during the preceding statement year complied with or were made to comply in all respects with the provisions of this chapter and the laws of this state as implemented and interpreted by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37.50(10)</w:t>
      </w:r>
      <w:r>
        <w:rPr>
          <w:rFonts w:ascii="Times New Roman" w:hAnsi="Times New Roman"/>
          <w:b w:val="false"/>
          <w:i w:val="false"/>
          <w:color w:val="000000"/>
          <w:sz w:val="22"/>
        </w:rPr>
        <w:t> </w:t>
      </w:r>
      <w:r>
        <w:rPr>
          <w:rFonts w:ascii="Times New Roman" w:hAnsi="Times New Roman"/>
          <w:b w:val="false"/>
          <w:i/>
          <w:color w:val="000000"/>
          <w:sz w:val="22"/>
        </w:rPr>
        <w:t xml:space="preserve">Filing for prior review. </w:t>
      </w:r>
      <w:r>
        <w:rPr>
          <w:rFonts w:ascii="Times New Roman" w:hAnsi="Times New Roman"/>
          <w:b w:val="false"/>
          <w:i w:val="false"/>
          <w:color w:val="000000"/>
          <w:sz w:val="22"/>
        </w:rPr>
        <w:t>The commissioner may, at the commissioner’s discretion, require the filing with the insurance division, for review prior to use, of any Medicare supplement insurance advertising material.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191—37.51</w:t>
      </w:r>
      <w:r>
        <w:rPr>
          <w:rFonts w:ascii="Times New Roman" w:hAnsi="Times New Roman"/>
          <w:b/>
          <w:i w:val="false"/>
          <w:color w:val="000000"/>
          <w:sz w:val="22"/>
        </w:rPr>
        <w:t xml:space="preserve">(514D) </w:t>
      </w:r>
      <w:r>
        <w:rPr>
          <w:rFonts w:ascii="Times New Roman" w:hAnsi="Times New Roman"/>
          <w:b/>
          <w:i w:val="false"/>
          <w:color w:val="000000"/>
          <w:sz w:val="22"/>
        </w:rPr>
        <w:t xml:space="preserve">Severability. </w:t>
      </w:r>
      <w:r>
        <w:rPr>
          <w:rFonts w:ascii="Times New Roman" w:hAnsi="Times New Roman"/>
          <w:b w:val="false"/>
          <w:i w:val="false"/>
          <w:color w:val="000000"/>
          <w:sz w:val="22"/>
        </w:rPr>
        <w:t>If any provisions of this chapter or the application thereof to any person or circumstance is for any reason held to be invalid, the remainder of the chapter and the application of such provision to other persons or circumstances shall not be affected thereby.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4394C</w:t>
      </w:r>
      <w:r>
        <w:rPr>
          <w:rFonts w:ascii="Times New Roman" w:hAnsi="Times New Roman"/>
          <w:b w:val="false"/>
          <w:i w:val="false"/>
          <w:color w:val="000000"/>
          <w:sz w:val="16"/>
        </w:rPr>
        <w:t>, IAB 4/10/19, effective 5/15/19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68">
        <w:r>
          <w:rPr>
            <w:rStyle w:val="Hyperlink"/>
            <w:rFonts w:ascii="Times New Roman" w:hAnsi="Times New Roman"/>
            <w:b w:val="false"/>
            <w:i w:val="false"/>
            <w:color w:val="000000"/>
            <w:sz w:val="22"/>
          </w:rPr>
          <w:t>507B</w:t>
        </w:r>
      </w:hyperlink>
      <w:r>
        <w:rPr>
          <w:rFonts w:ascii="Times New Roman" w:hAnsi="Times New Roman"/>
          <w:b w:val="false"/>
          <w:i w:val="false"/>
          <w:color w:val="000000"/>
          <w:sz w:val="22"/>
        </w:rPr>
        <w:t xml:space="preserve"> and </w:t>
      </w:r>
      <w:hyperlink r:id="rId269">
        <w:r>
          <w:rPr>
            <w:rStyle w:val="Hyperlink"/>
            <w:rFonts w:ascii="Times New Roman" w:hAnsi="Times New Roman"/>
            <w:b w:val="false"/>
            <w:i w:val="false"/>
            <w:color w:val="000000"/>
            <w:sz w:val="22"/>
          </w:rPr>
          <w:t>514D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2"/>
        </w:rPr>
        <w:t>APPENDIX A</w:t>
      </w:r>
    </w:p>
    <w:p>
      <w:pPr>
        <w:spacing w:before="0" w:after="0"/>
        <w:ind w:left="120"/>
        <w:jc w:val="center"/>
      </w:pPr>
      <w:r>
        <w:rPr>
          <w:rFonts w:ascii="Times New Roman" w:hAnsi="Times New Roman"/>
          <w:b w:val="false"/>
          <w:i w:val="false"/>
          <w:color w:val="000000"/>
          <w:sz w:val="22"/>
        </w:rPr>
        <w:t>MEDICARE SUPPLEMENT REFUND CALCULATION FORM</w:t>
      </w:r>
    </w:p>
    <w:p>
      <w:pPr>
        <w:spacing w:before="0" w:after="0"/>
        <w:ind w:left="120"/>
        <w:jc w:val="center"/>
      </w:pPr>
      <w:r>
        <w:rPr>
          <w:rFonts w:ascii="Times New Roman" w:hAnsi="Times New Roman"/>
          <w:b w:val="false"/>
          <w:i w:val="false"/>
          <w:color w:val="000000"/>
          <w:sz w:val="22"/>
        </w:rPr>
        <w:t>FOR CALENDAR YEAR ______</w:t>
      </w:r>
    </w:p>
    <w:tbl>
      <w:tblPr>
        <w:tblW w:w="5000" w:type="pct"/>
        <w:tblCellSpacing w:w="0" w:type="auto"/>
        <w:tblBorders>
          <w:top w:val="none"/>
          <w:left w:val="none"/>
          <w:bottom w:val="none"/>
          <w:right w:val="none"/>
          <w:insideH w:val="none"/>
          <w:insideV w:val="none"/>
        </w:tblBorders>
        <w:tblLayout w:type="fixed"/>
      </w:tblPr>
      <w:tblGrid>
        <w:gridCol w:w="6395"/>
        <w:gridCol w:w="4794"/>
      </w:tblGrid>
      <w:tr>
        <w:trPr>
          <w:trHeight w:val="27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TYPE</w:t>
            </w:r>
            <w:r>
              <w:rPr>
                <w:rFonts w:ascii="Times New Roman" w:hAnsi="Times New Roman"/>
                <w:b w:val="false"/>
                <w:i w:val="false"/>
                <w:color w:val="000000"/>
                <w:sz w:val="18"/>
                <w:vertAlign w:val="superscript"/>
              </w:rPr>
              <w:t>1</w:t>
            </w:r>
          </w:p>
        </w:tc>
        <w:tc>
          <w:tcPr>
            <w:tcW w:w="4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SMSBP</w:t>
            </w:r>
            <w:r>
              <w:rPr>
                <w:rFonts w:ascii="Times New Roman" w:hAnsi="Times New Roman"/>
                <w:b w:val="false"/>
                <w:i w:val="false"/>
                <w:color w:val="000000"/>
                <w:sz w:val="18"/>
                <w:vertAlign w:val="superscript"/>
              </w:rPr>
              <w:t>2</w:t>
            </w:r>
          </w:p>
        </w:tc>
      </w:tr>
      <w:tr>
        <w:trPr>
          <w:trHeight w:val="24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the State of</w:t>
            </w:r>
          </w:p>
        </w:tc>
        <w:tc>
          <w:tcPr>
            <w:tcW w:w="4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Company Name </w:t>
            </w:r>
          </w:p>
        </w:tc>
      </w:tr>
      <w:tr>
        <w:trPr>
          <w:trHeight w:val="24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Group Code</w:t>
            </w:r>
          </w:p>
        </w:tc>
        <w:tc>
          <w:tcPr>
            <w:tcW w:w="4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Company Code</w:t>
            </w:r>
          </w:p>
        </w:tc>
      </w:tr>
      <w:tr>
        <w:trPr>
          <w:trHeight w:val="24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c>
          <w:tcPr>
            <w:tcW w:w="4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Person Completing This Exhibit</w:t>
            </w:r>
          </w:p>
        </w:tc>
      </w:tr>
      <w:tr>
        <w:trPr>
          <w:trHeight w:val="240" w:hRule="atLeast"/>
        </w:trPr>
        <w:tc>
          <w:tcPr>
            <w:tcW w:w="63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Title</w:t>
            </w:r>
          </w:p>
        </w:tc>
        <w:tc>
          <w:tcPr>
            <w:tcW w:w="47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Telephone Number</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09"/>
        <w:gridCol w:w="4653"/>
        <w:gridCol w:w="2018"/>
        <w:gridCol w:w="796"/>
        <w:gridCol w:w="1339"/>
        <w:gridCol w:w="1275"/>
      </w:tblGrid>
      <w:tr>
        <w:trPr>
          <w:trHeight w:val="495" w:hRule="atLeast"/>
        </w:trPr>
        <w:tc>
          <w:tcPr>
            <w:tcW w:w="1109"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right"/>
            </w:pPr>
            <w:r>
              <w:rPr>
                <w:rFonts w:ascii="Times New Roman" w:hAnsi="Times New Roman"/>
                <w:b w:val="false"/>
                <w:i w:val="false"/>
                <w:color w:val="000000"/>
                <w:sz w:val="18"/>
              </w:rPr>
              <w:t>Line</w:t>
            </w:r>
          </w:p>
        </w:tc>
        <w:tc>
          <w:tcPr>
            <w:tcW w:w="465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(a)</w:t>
            </w:r>
          </w:p>
          <w:p>
            <w:pPr>
              <w:spacing w:before="0" w:after="0"/>
              <w:ind w:left="160"/>
              <w:jc w:val="center"/>
            </w:pPr>
            <w:r>
              <w:rPr>
                <w:rFonts w:ascii="Times New Roman" w:hAnsi="Times New Roman"/>
                <w:b w:val="false"/>
                <w:i w:val="false"/>
                <w:color w:val="000000"/>
                <w:sz w:val="18"/>
              </w:rPr>
              <w:t>Earned Premium</w:t>
            </w:r>
            <w:r>
              <w:rPr>
                <w:rFonts w:ascii="Times New Roman" w:hAnsi="Times New Roman"/>
                <w:b w:val="false"/>
                <w:i w:val="false"/>
                <w:color w:val="000000"/>
                <w:sz w:val="18"/>
                <w:vertAlign w:val="superscript"/>
              </w:rPr>
              <w:t>3</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8"/>
              </w:rPr>
              <w:t>(b)</w:t>
            </w:r>
          </w:p>
          <w:p>
            <w:pPr>
              <w:spacing w:before="0" w:after="0"/>
              <w:ind w:left="160"/>
              <w:jc w:val="center"/>
            </w:pPr>
            <w:r>
              <w:rPr>
                <w:rFonts w:ascii="Times New Roman" w:hAnsi="Times New Roman"/>
                <w:b w:val="false"/>
                <w:i w:val="false"/>
                <w:color w:val="000000"/>
                <w:sz w:val="18"/>
              </w:rPr>
              <w:t>Incurred Claims</w:t>
            </w:r>
            <w:r>
              <w:rPr>
                <w:rFonts w:ascii="Times New Roman" w:hAnsi="Times New Roman"/>
                <w:b w:val="false"/>
                <w:i w:val="false"/>
                <w:color w:val="000000"/>
                <w:sz w:val="18"/>
                <w:vertAlign w:val="superscript"/>
              </w:rPr>
              <w:t>4</w:t>
            </w:r>
          </w:p>
        </w:tc>
      </w:tr>
      <w:tr>
        <w:trPr>
          <w:trHeight w:val="255" w:hRule="atLeast"/>
        </w:trPr>
        <w:tc>
          <w:tcPr>
            <w:tcW w:w="1109"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1.</w:t>
            </w:r>
          </w:p>
        </w:tc>
        <w:tc>
          <w:tcPr>
            <w:tcW w:w="46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Current Year’s Experience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1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 a. Total (all policy years)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85" w:hRule="atLeast"/>
        </w:trPr>
        <w:tc>
          <w:tcPr>
            <w:tcW w:w="11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 xml:space="preserve"> b. Current year’s issues</w:t>
            </w:r>
            <w:r>
              <w:rPr>
                <w:rFonts w:ascii="Times New Roman" w:hAnsi="Times New Roman"/>
                <w:b w:val="false"/>
                <w:i w:val="false"/>
                <w:color w:val="000000"/>
                <w:sz w:val="18"/>
                <w:vertAlign w:val="superscript"/>
              </w:rPr>
              <w:t>5</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1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46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both"/>
            </w:pPr>
            <w:r>
              <w:rPr>
                <w:rFonts w:ascii="Times New Roman" w:hAnsi="Times New Roman"/>
                <w:b w:val="false"/>
                <w:i w:val="false"/>
                <w:color w:val="000000"/>
                <w:sz w:val="18"/>
              </w:rPr>
              <w:t xml:space="preserve"> c. Net (for reporting purposes = 1a – 1b)</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109"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2.</w:t>
            </w:r>
          </w:p>
        </w:tc>
        <w:tc>
          <w:tcPr>
            <w:tcW w:w="46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Past Years’ Experience (all policy years)</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50" w:hRule="atLeast"/>
        </w:trPr>
        <w:tc>
          <w:tcPr>
            <w:tcW w:w="1109"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3.</w:t>
            </w:r>
          </w:p>
        </w:tc>
        <w:tc>
          <w:tcPr>
            <w:tcW w:w="465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Total Experience</w:t>
            </w:r>
          </w:p>
          <w:p>
            <w:pPr>
              <w:spacing w:before="0" w:after="0"/>
              <w:ind w:left="160"/>
              <w:jc w:val="left"/>
            </w:pPr>
            <w:r>
              <w:rPr>
                <w:rFonts w:ascii="Times New Roman" w:hAnsi="Times New Roman"/>
                <w:b w:val="false"/>
                <w:i w:val="false"/>
                <w:color w:val="000000"/>
                <w:sz w:val="18"/>
              </w:rPr>
              <w:t>(Net Current Year + Past Year)</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614"/>
        <w:gridCol w:w="5159"/>
        <w:gridCol w:w="2524"/>
        <w:gridCol w:w="1893"/>
      </w:tblGrid>
      <w:tr>
        <w:trPr>
          <w:trHeight w:val="255" w:hRule="atLeast"/>
        </w:trPr>
        <w:tc>
          <w:tcPr>
            <w:tcW w:w="161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4.</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Refunds Last Year (excluding interest)</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61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5.</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Previous Since Inception (excluding interest)</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61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6.</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Refunds Since Inception (excluding interest)</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61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7.</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both"/>
            </w:pPr>
            <w:r>
              <w:rPr>
                <w:rFonts w:ascii="Times New Roman" w:hAnsi="Times New Roman"/>
                <w:b w:val="false"/>
                <w:i w:val="false"/>
                <w:color w:val="000000"/>
                <w:sz w:val="18"/>
              </w:rPr>
              <w:t>Benchmark Ratio Since Inception (see worksheet for Ratio 1)</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855" w:hRule="atLeast"/>
        </w:trPr>
        <w:tc>
          <w:tcPr>
            <w:tcW w:w="161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8.</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Experienced Ratio Since Inception (Ratio 2)</w:t>
            </w:r>
          </w:p>
          <w:p>
            <w:pPr>
              <w:spacing w:before="0" w:after="0"/>
              <w:ind w:left="160"/>
              <w:jc w:val="left"/>
            </w:pPr>
            <w:r>
              <w:rPr>
                <w:rFonts w:ascii="Times New Roman" w:hAnsi="Times New Roman"/>
                <w:b w:val="false"/>
                <w:i w:val="false"/>
                <w:color w:val="000000"/>
                <w:sz w:val="18"/>
                <w:u w:val="single"/>
              </w:rPr>
              <w:t xml:space="preserve">Total Actual Incurred Claims (line 3, col. b) </w:t>
            </w:r>
          </w:p>
          <w:p>
            <w:pPr>
              <w:spacing w:before="0" w:after="0"/>
              <w:ind w:left="160"/>
              <w:jc w:val="left"/>
            </w:pPr>
            <w:r>
              <w:rPr>
                <w:rFonts w:ascii="Times New Roman" w:hAnsi="Times New Roman"/>
                <w:b w:val="false"/>
                <w:i w:val="false"/>
                <w:color w:val="000000"/>
                <w:sz w:val="18"/>
              </w:rPr>
              <w:t xml:space="preserve"> Total Earned Prem. (line 3, col. a) – Refunds Since</w:t>
            </w:r>
          </w:p>
          <w:p>
            <w:pPr>
              <w:spacing w:before="0" w:after="0"/>
              <w:ind w:left="160"/>
              <w:jc w:val="both"/>
            </w:pPr>
            <w:r>
              <w:rPr>
                <w:rFonts w:ascii="Times New Roman" w:hAnsi="Times New Roman"/>
                <w:b w:val="false"/>
                <w:i w:val="false"/>
                <w:color w:val="000000"/>
                <w:sz w:val="18"/>
              </w:rPr>
              <w:t xml:space="preserve"> Inception (line 6)</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765" w:hRule="atLeast"/>
        </w:trPr>
        <w:tc>
          <w:tcPr>
            <w:tcW w:w="161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9.</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8"/>
              </w:rPr>
              <w:t>Life Years Exposed Since Inception</w:t>
            </w:r>
          </w:p>
          <w:p>
            <w:pPr>
              <w:spacing w:before="0" w:after="0"/>
              <w:ind w:left="160"/>
              <w:jc w:val="left"/>
            </w:pPr>
            <w:r>
              <w:rPr>
                <w:rFonts w:ascii="Times New Roman" w:hAnsi="Times New Roman"/>
                <w:b w:val="false"/>
                <w:i w:val="false"/>
                <w:color w:val="000000"/>
                <w:sz w:val="18"/>
              </w:rPr>
              <w:t> </w:t>
            </w:r>
          </w:p>
          <w:p>
            <w:pPr>
              <w:spacing w:before="0" w:after="0"/>
              <w:ind w:left="160"/>
              <w:jc w:val="left"/>
            </w:pPr>
            <w:r>
              <w:rPr>
                <w:rFonts w:ascii="Times New Roman" w:hAnsi="Times New Roman"/>
                <w:b w:val="false"/>
                <w:i w:val="false"/>
                <w:color w:val="000000"/>
                <w:sz w:val="18"/>
              </w:rPr>
              <w:t>If the Experienced Ratio is less than the Benchmark Ratio, and there are more than 500 life years exposure, then proceed to calculation of refund.</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55" w:hRule="atLeast"/>
        </w:trPr>
        <w:tc>
          <w:tcPr>
            <w:tcW w:w="161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10.</w:t>
            </w:r>
          </w:p>
        </w:tc>
        <w:tc>
          <w:tcPr>
            <w:tcW w:w="0" w:type="auto"/>
            <w:gridSpan w:val="2"/>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8"/>
              </w:rPr>
              <w:t>Tolerance Permitted (obtained from credibility table)</w:t>
            </w:r>
          </w:p>
        </w:tc>
        <w:tc>
          <w:tcPr>
            <w:tcW w:w="189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22"/>
        </w:rPr>
        <w:t>Individual, Group, Individual Medicare Select, or Group Medicare Select only.</w:t>
      </w:r>
    </w:p>
    <w:p>
      <w:pPr>
        <w:spacing w:before="0" w:after="0"/>
        <w:ind w:left="264"/>
        <w:jc w:val="both"/>
      </w:pP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“SMSBP” = Standardized Medicare Supplement Benefit Plan – Use “P” for prestandardized Medicare supplement benefit plans.</w:t>
      </w:r>
    </w:p>
    <w:p>
      <w:pPr>
        <w:spacing w:before="0" w:after="0"/>
        <w:ind w:left="120"/>
        <w:jc w:val="both"/>
      </w:pP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22"/>
        </w:rPr>
        <w:t>Includes Modal Loadings and Fees Charged.</w:t>
      </w:r>
    </w:p>
    <w:p>
      <w:pPr>
        <w:spacing w:before="0" w:after="0"/>
        <w:ind w:left="120"/>
        <w:jc w:val="both"/>
      </w:pP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Excludes Active Life Reserves.</w:t>
      </w:r>
    </w:p>
    <w:p>
      <w:pPr>
        <w:spacing w:before="0" w:after="0"/>
        <w:ind w:left="264"/>
        <w:jc w:val="both"/>
      </w:pPr>
      <w:r>
        <w:rPr>
          <w:rFonts w:ascii="Times New Roman" w:hAnsi="Times New Roman"/>
          <w:b w:val="false"/>
          <w:i w:val="false"/>
          <w:color w:val="000000"/>
          <w:sz w:val="18"/>
          <w:vertAlign w:val="superscript"/>
        </w:rPr>
        <w:t xml:space="preserve">5 </w:t>
      </w:r>
      <w:r>
        <w:rPr>
          <w:rFonts w:ascii="Times New Roman" w:hAnsi="Times New Roman"/>
          <w:b w:val="false"/>
          <w:i w:val="false"/>
          <w:color w:val="000000"/>
          <w:sz w:val="22"/>
        </w:rPr>
        <w:t>This is to be used as “Issue Year Earned Premium” for Year 1 of next year’s “Worksheet for Calculation of Benchmark Ratios.”</w:t>
      </w:r>
    </w:p>
    <w:p>
      <w:pPr>
        <w:pageBreakBefore/>
        <w:spacing w:before="0" w:after="0"/>
        <w:ind w:left="120"/>
        <w:jc w:val="left"/>
      </w:pPr>
    </w:p>
    <w:p>
      <w:pPr>
        <w:spacing w:before="60" w:after="0"/>
        <w:ind w:left="120"/>
        <w:jc w:val="center"/>
      </w:pPr>
      <w:r>
        <w:rPr>
          <w:rFonts w:ascii="Times New Roman" w:hAnsi="Times New Roman"/>
          <w:b w:val="false"/>
          <w:i w:val="false"/>
          <w:color w:val="000000"/>
          <w:sz w:val="22"/>
        </w:rPr>
        <w:t xml:space="preserve"> Medicare Supplement Credibility Table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58"/>
        <w:gridCol w:w="5632"/>
      </w:tblGrid>
      <w:tr>
        <w:trPr>
          <w:trHeight w:val="240"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Life Years Exposed</w:t>
            </w:r>
          </w:p>
        </w:tc>
      </w:tr>
      <w:tr>
        <w:trPr>
          <w:trHeight w:val="240" w:hRule="atLeast"/>
        </w:trPr>
        <w:tc>
          <w:tcPr>
            <w:tcW w:w="5558" w:type="dxa"/>
            <w:tcBorders>
              <w:bottom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Since Inception</w:t>
            </w:r>
          </w:p>
        </w:tc>
        <w:tc>
          <w:tcPr>
            <w:tcW w:w="563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Tolerance</w:t>
            </w:r>
          </w:p>
        </w:tc>
      </w:tr>
      <w:tr>
        <w:trPr>
          <w:trHeight w:val="255" w:hRule="atLeast"/>
        </w:trPr>
        <w:tc>
          <w:tcPr>
            <w:tcW w:w="55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10,000 +</w:t>
            </w:r>
          </w:p>
        </w:tc>
        <w:tc>
          <w:tcPr>
            <w:tcW w:w="563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0.0%</w:t>
            </w:r>
          </w:p>
        </w:tc>
      </w:tr>
      <w:tr>
        <w:trPr>
          <w:trHeight w:val="255" w:hRule="atLeast"/>
        </w:trPr>
        <w:tc>
          <w:tcPr>
            <w:tcW w:w="55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5,000 - 9,999</w:t>
            </w:r>
          </w:p>
        </w:tc>
        <w:tc>
          <w:tcPr>
            <w:tcW w:w="563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5.0%</w:t>
            </w:r>
          </w:p>
        </w:tc>
      </w:tr>
      <w:tr>
        <w:trPr>
          <w:trHeight w:val="255" w:hRule="atLeast"/>
        </w:trPr>
        <w:tc>
          <w:tcPr>
            <w:tcW w:w="55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2,500 - 4,999</w:t>
            </w:r>
          </w:p>
        </w:tc>
        <w:tc>
          <w:tcPr>
            <w:tcW w:w="563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7.5%</w:t>
            </w:r>
          </w:p>
        </w:tc>
      </w:tr>
      <w:tr>
        <w:trPr>
          <w:trHeight w:val="255" w:hRule="atLeast"/>
        </w:trPr>
        <w:tc>
          <w:tcPr>
            <w:tcW w:w="55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1,000 - 2,499</w:t>
            </w:r>
          </w:p>
        </w:tc>
        <w:tc>
          <w:tcPr>
            <w:tcW w:w="563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10.0%</w:t>
            </w:r>
          </w:p>
        </w:tc>
      </w:tr>
      <w:tr>
        <w:trPr>
          <w:trHeight w:val="255" w:hRule="atLeast"/>
        </w:trPr>
        <w:tc>
          <w:tcPr>
            <w:tcW w:w="5558" w:type="dxa"/>
            <w:tcBorders>
              <w:bottom w:val="single" w:color="000000" w:sz="8"/>
              <w:right w:val="single" w:color="000000" w:sz="8"/>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8"/>
              </w:rPr>
              <w:t>500 - 999</w:t>
            </w:r>
          </w:p>
        </w:tc>
        <w:tc>
          <w:tcPr>
            <w:tcW w:w="563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8"/>
              </w:rPr>
              <w:t>15.0%</w:t>
            </w:r>
          </w:p>
        </w:tc>
      </w:tr>
      <w:tr>
        <w:trPr>
          <w:trHeight w:val="255" w:hRule="atLeast"/>
        </w:trPr>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If less than 500, no credibility.</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MEDICARE SUPPLEMENT REFUND CALCULATION FORM</w:t>
      </w:r>
    </w:p>
    <w:p>
      <w:pPr>
        <w:spacing w:before="0" w:after="0"/>
        <w:ind w:left="120"/>
        <w:jc w:val="center"/>
      </w:pPr>
      <w:r>
        <w:rPr>
          <w:rFonts w:ascii="Times New Roman" w:hAnsi="Times New Roman"/>
          <w:b w:val="false"/>
          <w:i w:val="false"/>
          <w:color w:val="000000"/>
          <w:sz w:val="22"/>
        </w:rPr>
        <w:t>FOR CALENDAR YEAR ______</w:t>
      </w:r>
    </w:p>
    <w:tbl>
      <w:tblPr>
        <w:tblW w:w="5000" w:type="pct"/>
        <w:tblCellSpacing w:w="0" w:type="auto"/>
        <w:tblBorders>
          <w:top w:val="none"/>
          <w:left w:val="none"/>
          <w:bottom w:val="none"/>
          <w:right w:val="none"/>
          <w:insideH w:val="none"/>
          <w:insideV w:val="none"/>
        </w:tblBorders>
        <w:tblLayout w:type="fixed"/>
      </w:tblPr>
      <w:tblGrid>
        <w:gridCol w:w="6128"/>
        <w:gridCol w:w="5061"/>
      </w:tblGrid>
      <w:tr>
        <w:trPr>
          <w:trHeight w:val="27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TYPE</w:t>
            </w:r>
            <w:r>
              <w:rPr>
                <w:rFonts w:ascii="Times New Roman" w:hAnsi="Times New Roman"/>
                <w:b w:val="false"/>
                <w:i w:val="false"/>
                <w:color w:val="000000"/>
                <w:sz w:val="18"/>
                <w:vertAlign w:val="superscript"/>
              </w:rPr>
              <w:t xml:space="preserve">1 </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SMSBP</w:t>
            </w:r>
            <w:r>
              <w:rPr>
                <w:rFonts w:ascii="Times New Roman" w:hAnsi="Times New Roman"/>
                <w:b w:val="false"/>
                <w:i w:val="false"/>
                <w:color w:val="000000"/>
                <w:sz w:val="18"/>
                <w:vertAlign w:val="superscript"/>
              </w:rPr>
              <w:t>2</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the State of</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Name</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Group Code</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Company Code</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Person Completing This Exhibit </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Title</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Telephone Number</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8"/>
        <w:gridCol w:w="7929"/>
        <w:gridCol w:w="2043"/>
      </w:tblGrid>
      <w:tr>
        <w:trPr>
          <w:trHeight w:val="24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11.</w:t>
            </w:r>
          </w:p>
        </w:tc>
        <w:tc>
          <w:tcPr>
            <w:tcW w:w="792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Adjustment to Incurred Claims for Credibility</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21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92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Ratio 3 = Ratio 2 + Tolerance</w:t>
            </w:r>
          </w:p>
        </w:tc>
        <w:tc>
          <w:tcPr>
            <w:tcW w:w="204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If Ratio 3 is more than Benchmark Ratio (Ratio 1), a refund or credit to premium is not required.</w:t>
      </w:r>
    </w:p>
    <w:p>
      <w:pPr>
        <w:spacing w:before="0" w:after="0"/>
        <w:ind w:left="120"/>
        <w:jc w:val="both"/>
      </w:pPr>
      <w:r>
        <w:rPr>
          <w:rFonts w:ascii="Times New Roman" w:hAnsi="Times New Roman"/>
          <w:b w:val="false"/>
          <w:i w:val="false"/>
          <w:color w:val="000000"/>
          <w:sz w:val="22"/>
        </w:rPr>
        <w:t>If Ratio 3 is less than the Benchmark Ratio, then proceed.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219"/>
        <w:gridCol w:w="7927"/>
        <w:gridCol w:w="2044"/>
      </w:tblGrid>
      <w:tr>
        <w:trPr>
          <w:trHeight w:val="240" w:hRule="atLeast"/>
        </w:trPr>
        <w:tc>
          <w:tcPr>
            <w:tcW w:w="121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12.</w:t>
            </w:r>
          </w:p>
        </w:tc>
        <w:tc>
          <w:tcPr>
            <w:tcW w:w="792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Adjusted Incurred Claims</w:t>
            </w:r>
          </w:p>
        </w:tc>
        <w:tc>
          <w:tcPr>
            <w:tcW w:w="20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121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927" w:type="dxa"/>
            <w:tcBorders>
              <w:bottom w:val="single" w:color="000000" w:sz="8"/>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[Total Earned Premiums (line 3, col. a) – Refunds Since Inception (line 6)] × Ratio 3 (line 11)</w:t>
            </w:r>
          </w:p>
        </w:tc>
        <w:tc>
          <w:tcPr>
            <w:tcW w:w="204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121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13.</w:t>
            </w:r>
          </w:p>
        </w:tc>
        <w:tc>
          <w:tcPr>
            <w:tcW w:w="792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Refund =</w:t>
            </w:r>
          </w:p>
        </w:tc>
        <w:tc>
          <w:tcPr>
            <w:tcW w:w="20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435" w:hRule="atLeast"/>
        </w:trPr>
        <w:tc>
          <w:tcPr>
            <w:tcW w:w="121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92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8"/>
              </w:rPr>
              <w:t>Total Earned Premiums (line 3, col. a) – Refunds Since Inception (line 6) – [Adjusted Incurred Claims (line 12) / Benchmark Ratio (Ratio 1)]</w:t>
            </w:r>
          </w:p>
        </w:tc>
        <w:tc>
          <w:tcPr>
            <w:tcW w:w="204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bl>
    <w:p>
      <w:pPr>
        <w:spacing w:before="0" w:after="0"/>
        <w:ind w:left="120"/>
        <w:jc w:val="both"/>
      </w:pPr>
      <w:r>
        <w:rPr>
          <w:rFonts w:ascii="Times New Roman" w:hAnsi="Times New Roman"/>
          <w:b w:val="false"/>
          <w:i w:val="false"/>
          <w:color w:val="000000"/>
          <w:sz w:val="22"/>
        </w:rPr>
        <w:t>If the amount on line 13 is less than .005 times the annualized premium in force as of December 31 of the reporting year, then no refund is made. Otherwise, the amount on line 13 is to be refunded or credited, and a description of the refund or credit against premiums to be used must be attached to this form.</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I certify that the above information and calculations are true and accurate to the best of my knowledge and belief.</w:t>
      </w:r>
    </w:p>
    <w:tbl>
      <w:tblPr>
        <w:tblW w:w="5000" w:type="pct"/>
        <w:tblCellSpacing w:w="0" w:type="auto"/>
        <w:tblBorders>
          <w:top w:val="none"/>
          <w:left w:val="none"/>
          <w:bottom w:val="none"/>
          <w:right w:val="none"/>
          <w:insideH w:val="none"/>
          <w:insideV w:val="none"/>
        </w:tblBorders>
        <w:tblLayout w:type="fixed"/>
      </w:tblPr>
      <w:tblGrid>
        <w:gridCol w:w="4581"/>
        <w:gridCol w:w="6608"/>
      </w:tblGrid>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Signature</w:t>
            </w:r>
          </w:p>
        </w:tc>
      </w:tr>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Name (Please type.)</w:t>
            </w:r>
          </w:p>
        </w:tc>
      </w:tr>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Title (Please type.)</w:t>
            </w:r>
          </w:p>
        </w:tc>
      </w:tr>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45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660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Date</w:t>
            </w: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 xml:space="preserve"> Individual, Group, Individual Medicare Select, or Group Medicare Select only.</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 xml:space="preserve"> “SMSBP” = Standardized Medicare Supplement Benefit Plan – Use “P” for prestandardized plans.</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REPORTING FORM FOR THE CALCULATION OF</w:t>
      </w:r>
    </w:p>
    <w:p>
      <w:pPr>
        <w:spacing w:before="0" w:after="0"/>
        <w:ind w:left="120"/>
        <w:jc w:val="center"/>
      </w:pPr>
      <w:r>
        <w:rPr>
          <w:rFonts w:ascii="Times New Roman" w:hAnsi="Times New Roman"/>
          <w:b w:val="false"/>
          <w:i w:val="false"/>
          <w:color w:val="000000"/>
          <w:sz w:val="22"/>
        </w:rPr>
        <w:t>BENCHMARK RATIO SINCE INCEPTION FOR GROUP POLICIES</w:t>
      </w:r>
    </w:p>
    <w:p>
      <w:pPr>
        <w:spacing w:before="0" w:after="0"/>
        <w:ind w:left="120"/>
        <w:jc w:val="center"/>
      </w:pPr>
      <w:r>
        <w:rPr>
          <w:rFonts w:ascii="Times New Roman" w:hAnsi="Times New Roman"/>
          <w:b w:val="false"/>
          <w:i w:val="false"/>
          <w:color w:val="000000"/>
          <w:sz w:val="22"/>
        </w:rPr>
        <w:t>FOR CALENDAR YEAR _____</w:t>
      </w:r>
    </w:p>
    <w:tbl>
      <w:tblPr>
        <w:tblW w:w="5000" w:type="pct"/>
        <w:tblCellSpacing w:w="0" w:type="auto"/>
        <w:tblBorders>
          <w:top w:val="none"/>
          <w:left w:val="none"/>
          <w:bottom w:val="none"/>
          <w:right w:val="none"/>
          <w:insideH w:val="none"/>
          <w:insideV w:val="none"/>
        </w:tblBorders>
        <w:tblLayout w:type="fixed"/>
      </w:tblPr>
      <w:tblGrid>
        <w:gridCol w:w="6128"/>
        <w:gridCol w:w="5061"/>
      </w:tblGrid>
      <w:tr>
        <w:trPr>
          <w:trHeight w:val="27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TYPE</w:t>
            </w:r>
            <w:r>
              <w:rPr>
                <w:rFonts w:ascii="Times New Roman" w:hAnsi="Times New Roman"/>
                <w:b w:val="false"/>
                <w:i w:val="false"/>
                <w:color w:val="000000"/>
                <w:sz w:val="18"/>
                <w:vertAlign w:val="superscript"/>
              </w:rPr>
              <w:t xml:space="preserve">1 </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SMSBP</w:t>
            </w:r>
            <w:r>
              <w:rPr>
                <w:rFonts w:ascii="Times New Roman" w:hAnsi="Times New Roman"/>
                <w:b w:val="false"/>
                <w:i w:val="false"/>
                <w:color w:val="000000"/>
                <w:sz w:val="18"/>
                <w:vertAlign w:val="superscript"/>
              </w:rPr>
              <w:t>2</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the State of</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Name</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Group Code</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Company Code</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Person Completing This Exhibit </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Title</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Telephone Number</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74"/>
        <w:gridCol w:w="1085"/>
        <w:gridCol w:w="913"/>
        <w:gridCol w:w="970"/>
        <w:gridCol w:w="1316"/>
        <w:gridCol w:w="970"/>
        <w:gridCol w:w="913"/>
        <w:gridCol w:w="970"/>
        <w:gridCol w:w="1316"/>
        <w:gridCol w:w="950"/>
        <w:gridCol w:w="912"/>
      </w:tblGrid>
      <w:tr>
        <w:trPr>
          <w:trHeight w:val="24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w:t>
            </w:r>
            <w:r>
              <w:rPr>
                <w:rFonts w:ascii="Times New Roman" w:hAnsi="Times New Roman"/>
                <w:b w:val="false"/>
                <w:i w:val="false"/>
                <w:color w:val="000000"/>
                <w:sz w:val="18"/>
                <w:vertAlign w:val="superscript"/>
              </w:rPr>
              <w:t>3</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t>
            </w:r>
            <w:r>
              <w:rPr>
                <w:rFonts w:ascii="Times New Roman" w:hAnsi="Times New Roman"/>
                <w:b w:val="false"/>
                <w:i w:val="false"/>
                <w:color w:val="000000"/>
                <w:sz w:val="18"/>
                <w:vertAlign w:val="superscript"/>
              </w:rPr>
              <w:t>4</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(f)</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(h)</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(i)</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(j)</w:t>
            </w:r>
          </w:p>
        </w:tc>
        <w:tc>
          <w:tcPr>
            <w:tcW w:w="91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r>
              <w:rPr>
                <w:rFonts w:ascii="Times New Roman" w:hAnsi="Times New Roman"/>
                <w:b w:val="false"/>
                <w:i w:val="false"/>
                <w:color w:val="000000"/>
                <w:sz w:val="18"/>
                <w:vertAlign w:val="superscript"/>
              </w:rPr>
              <w:t>5</w:t>
            </w:r>
          </w:p>
        </w:tc>
      </w:tr>
      <w:tr>
        <w:trPr>
          <w:trHeight w:val="675" w:hRule="atLeast"/>
        </w:trPr>
        <w:tc>
          <w:tcPr>
            <w:tcW w:w="87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Year</w:t>
            </w:r>
          </w:p>
        </w:tc>
        <w:tc>
          <w:tcPr>
            <w:tcW w:w="1085"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Earned</w:t>
            </w:r>
          </w:p>
          <w:p>
            <w:pPr>
              <w:spacing w:before="0" w:after="0"/>
              <w:ind w:left="160"/>
              <w:jc w:val="center"/>
            </w:pPr>
            <w:r>
              <w:rPr>
                <w:rFonts w:ascii="Times New Roman" w:hAnsi="Times New Roman"/>
                <w:b w:val="false"/>
                <w:i w:val="false"/>
                <w:color w:val="000000"/>
                <w:sz w:val="14"/>
              </w:rPr>
              <w:t>Premium</w:t>
            </w:r>
          </w:p>
        </w:tc>
        <w:tc>
          <w:tcPr>
            <w:tcW w:w="91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Factor</w:t>
            </w:r>
          </w:p>
        </w:tc>
        <w:tc>
          <w:tcPr>
            <w:tcW w:w="97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(b) × (c)</w:t>
            </w:r>
          </w:p>
        </w:tc>
        <w:tc>
          <w:tcPr>
            <w:tcW w:w="131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Cumulative</w:t>
            </w:r>
          </w:p>
          <w:p>
            <w:pPr>
              <w:spacing w:before="0" w:after="0"/>
              <w:ind w:left="160"/>
              <w:jc w:val="center"/>
            </w:pPr>
            <w:r>
              <w:rPr>
                <w:rFonts w:ascii="Times New Roman" w:hAnsi="Times New Roman"/>
                <w:b w:val="false"/>
                <w:i w:val="false"/>
                <w:color w:val="000000"/>
                <w:sz w:val="14"/>
              </w:rPr>
              <w:t>Loss Ratio</w:t>
            </w:r>
          </w:p>
        </w:tc>
        <w:tc>
          <w:tcPr>
            <w:tcW w:w="97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(d) × (e)</w:t>
            </w:r>
          </w:p>
        </w:tc>
        <w:tc>
          <w:tcPr>
            <w:tcW w:w="91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Factor</w:t>
            </w:r>
          </w:p>
        </w:tc>
        <w:tc>
          <w:tcPr>
            <w:tcW w:w="97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(b) × (g)</w:t>
            </w:r>
          </w:p>
        </w:tc>
        <w:tc>
          <w:tcPr>
            <w:tcW w:w="131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Cumulative</w:t>
            </w:r>
          </w:p>
          <w:p>
            <w:pPr>
              <w:spacing w:before="0" w:after="0"/>
              <w:ind w:left="160"/>
              <w:jc w:val="center"/>
            </w:pPr>
            <w:r>
              <w:rPr>
                <w:rFonts w:ascii="Times New Roman" w:hAnsi="Times New Roman"/>
                <w:b w:val="false"/>
                <w:i w:val="false"/>
                <w:color w:val="000000"/>
                <w:sz w:val="14"/>
              </w:rPr>
              <w:t>Loss Ratio</w:t>
            </w:r>
          </w:p>
        </w:tc>
        <w:tc>
          <w:tcPr>
            <w:tcW w:w="95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(h) × (i)</w:t>
            </w:r>
          </w:p>
        </w:tc>
        <w:tc>
          <w:tcPr>
            <w:tcW w:w="912"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Policy Year</w:t>
            </w:r>
          </w:p>
          <w:p>
            <w:pPr>
              <w:spacing w:before="0" w:after="0"/>
              <w:ind w:left="160"/>
              <w:jc w:val="center"/>
            </w:pPr>
            <w:r>
              <w:rPr>
                <w:rFonts w:ascii="Times New Roman" w:hAnsi="Times New Roman"/>
                <w:b w:val="false"/>
                <w:i w:val="false"/>
                <w:color w:val="000000"/>
                <w:sz w:val="14"/>
              </w:rPr>
              <w:t>Loss Ratio</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2.770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0.507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0.46</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2</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0.63</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3</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1.194</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0.759</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0.75</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2.245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0.771</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0.77</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5</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3.170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0.782</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0.80</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6</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3.998</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0.792</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0.82</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7</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4.754</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0.802</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0.84</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5.445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0.811</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0.87</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9</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6.075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0.818</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0.88</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10</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6.650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0.824</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0.88</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11</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7.176</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0.828</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0.88</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12</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7.655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0.831</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0.88</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13</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8.093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0.834</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0.89</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14</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0.837</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0.89</w:t>
            </w:r>
          </w:p>
        </w:tc>
      </w:tr>
      <w:tr>
        <w:trPr>
          <w:trHeight w:val="24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15+</w:t>
            </w:r>
            <w:r>
              <w:rPr>
                <w:rFonts w:ascii="Times New Roman" w:hAnsi="Times New Roman"/>
                <w:b w:val="false"/>
                <w:i w:val="false"/>
                <w:color w:val="000000"/>
                <w:sz w:val="18"/>
                <w:vertAlign w:val="superscript"/>
              </w:rPr>
              <w:t>6</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0.567</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8.684</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0.838</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0.89</w:t>
            </w:r>
          </w:p>
        </w:tc>
      </w:tr>
      <w:tr>
        <w:trPr>
          <w:trHeight w:val="210" w:hRule="atLeast"/>
        </w:trPr>
        <w:tc>
          <w:tcPr>
            <w:tcW w:w="8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w:t>
            </w:r>
          </w:p>
        </w:tc>
        <w:tc>
          <w:tcPr>
            <w:tcW w:w="10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p>
        </w:tc>
        <w:tc>
          <w:tcPr>
            <w:tcW w:w="13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p>
        </w:tc>
        <w:tc>
          <w:tcPr>
            <w:tcW w:w="9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w:t>
            </w:r>
          </w:p>
        </w:tc>
        <w:tc>
          <w:tcPr>
            <w:tcW w:w="13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5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w:t>
            </w:r>
          </w:p>
        </w:tc>
        <w:tc>
          <w:tcPr>
            <w:tcW w:w="9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Benchmark Ratio Since Inception: (l + n)/(k + m): __________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22"/>
        </w:rPr>
        <w:t>Individual, Group, Individual Medicare Select, or Group Medicare Select only.</w:t>
      </w:r>
    </w:p>
    <w:p>
      <w:pPr>
        <w:spacing w:before="0" w:after="0"/>
        <w:ind w:left="264"/>
        <w:jc w:val="both"/>
      </w:pP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“SMSBP” = Standardized Medicare Supplement Benefit Plan – Use “P” for prestandardized Medicare supplement benefit plans.</w:t>
      </w:r>
    </w:p>
    <w:p>
      <w:pPr>
        <w:spacing w:before="0" w:after="0"/>
        <w:ind w:left="264"/>
        <w:jc w:val="both"/>
      </w:pP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22"/>
        </w:rPr>
        <w:t>Year 1 is the current calendar year - 1. Year 2 is the current calendar year - 2 (etc.). (Example: If the current year is 1991, then: Year 1 is 1990; Year 2 is 1989, etc.)</w:t>
      </w:r>
    </w:p>
    <w:p>
      <w:pPr>
        <w:spacing w:before="0" w:after="0"/>
        <w:ind w:left="264"/>
        <w:jc w:val="both"/>
      </w:pP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For the calendar year on the appropriate line in column (a), the premium earned during that year for policies issued in that year.</w:t>
      </w:r>
    </w:p>
    <w:p>
      <w:pPr>
        <w:spacing w:before="0" w:after="0"/>
        <w:ind w:left="264"/>
        <w:jc w:val="both"/>
      </w:pPr>
      <w:r>
        <w:rPr>
          <w:rFonts w:ascii="Times New Roman" w:hAnsi="Times New Roman"/>
          <w:b w:val="false"/>
          <w:i w:val="false"/>
          <w:color w:val="000000"/>
          <w:sz w:val="18"/>
          <w:vertAlign w:val="superscript"/>
        </w:rPr>
        <w:t xml:space="preserve">5 </w:t>
      </w:r>
      <w:r>
        <w:rPr>
          <w:rFonts w:ascii="Times New Roman" w:hAnsi="Times New Roman"/>
          <w:b w:val="false"/>
          <w:i w:val="false"/>
          <w:color w:val="000000"/>
          <w:sz w:val="22"/>
        </w:rPr>
        <w:t>These loss ratios are not explicitly used in computing the benchmark loss ratios. They are the loss ratios, on a policy year basis, which result in the cumulative loss ratios displayed on this worksheet. They are shown here for informational purposes only.</w:t>
      </w:r>
    </w:p>
    <w:p>
      <w:pPr>
        <w:spacing w:before="0" w:after="0"/>
        <w:ind w:left="120"/>
        <w:jc w:val="both"/>
      </w:pPr>
      <w:r>
        <w:rPr>
          <w:rFonts w:ascii="Times New Roman" w:hAnsi="Times New Roman"/>
          <w:b w:val="false"/>
          <w:i w:val="false"/>
          <w:color w:val="000000"/>
          <w:sz w:val="18"/>
          <w:vertAlign w:val="superscript"/>
        </w:rPr>
        <w:t xml:space="preserve">6 </w:t>
      </w:r>
      <w:r>
        <w:rPr>
          <w:rFonts w:ascii="Times New Roman" w:hAnsi="Times New Roman"/>
          <w:b w:val="false"/>
          <w:i w:val="false"/>
          <w:color w:val="000000"/>
          <w:sz w:val="22"/>
        </w:rPr>
        <w:t>To include the earned premium for all years prior to as well as the 15th year prior to the current year.</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REPORTING FORM FOR THE CALCULATION OF</w:t>
      </w:r>
    </w:p>
    <w:p>
      <w:pPr>
        <w:spacing w:before="0" w:after="0"/>
        <w:ind w:left="120"/>
        <w:jc w:val="center"/>
      </w:pPr>
      <w:r>
        <w:rPr>
          <w:rFonts w:ascii="Times New Roman" w:hAnsi="Times New Roman"/>
          <w:b w:val="false"/>
          <w:i w:val="false"/>
          <w:color w:val="000000"/>
          <w:sz w:val="22"/>
        </w:rPr>
        <w:t>BENCHMARK RATIO SINCE INCEPTION FOR INDIVIDUAL POLICIES</w:t>
      </w:r>
    </w:p>
    <w:p>
      <w:pPr>
        <w:spacing w:before="0" w:after="0"/>
        <w:ind w:left="120"/>
        <w:jc w:val="center"/>
      </w:pPr>
      <w:r>
        <w:rPr>
          <w:rFonts w:ascii="Times New Roman" w:hAnsi="Times New Roman"/>
          <w:b w:val="false"/>
          <w:i w:val="false"/>
          <w:color w:val="000000"/>
          <w:sz w:val="22"/>
        </w:rPr>
        <w:t>FOR CALENDAR YEAR _____</w:t>
      </w:r>
    </w:p>
    <w:tbl>
      <w:tblPr>
        <w:tblW w:w="5000" w:type="pct"/>
        <w:tblCellSpacing w:w="0" w:type="auto"/>
        <w:tblBorders>
          <w:top w:val="none"/>
          <w:left w:val="none"/>
          <w:bottom w:val="none"/>
          <w:right w:val="none"/>
          <w:insideH w:val="none"/>
          <w:insideV w:val="none"/>
        </w:tblBorders>
        <w:tblLayout w:type="fixed"/>
      </w:tblPr>
      <w:tblGrid>
        <w:gridCol w:w="6128"/>
        <w:gridCol w:w="5061"/>
      </w:tblGrid>
      <w:tr>
        <w:trPr>
          <w:trHeight w:val="27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TYPE</w:t>
            </w:r>
            <w:r>
              <w:rPr>
                <w:rFonts w:ascii="Times New Roman" w:hAnsi="Times New Roman"/>
                <w:b w:val="false"/>
                <w:i w:val="false"/>
                <w:color w:val="000000"/>
                <w:sz w:val="18"/>
                <w:vertAlign w:val="superscript"/>
              </w:rPr>
              <w:t xml:space="preserve">1 </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SMSBP</w:t>
            </w:r>
            <w:r>
              <w:rPr>
                <w:rFonts w:ascii="Times New Roman" w:hAnsi="Times New Roman"/>
                <w:b w:val="false"/>
                <w:i w:val="false"/>
                <w:color w:val="000000"/>
                <w:sz w:val="18"/>
                <w:vertAlign w:val="superscript"/>
              </w:rPr>
              <w:t>2</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 the State of</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Name</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Group Code</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NAIC Company Code</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xml:space="preserve">Address </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Person Completing This Exhibit</w:t>
            </w:r>
          </w:p>
        </w:tc>
      </w:tr>
      <w:tr>
        <w:trPr>
          <w:trHeight w:val="240" w:hRule="atLeast"/>
        </w:trPr>
        <w:tc>
          <w:tcPr>
            <w:tcW w:w="61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Title</w:t>
            </w:r>
          </w:p>
        </w:tc>
        <w:tc>
          <w:tcPr>
            <w:tcW w:w="50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Telephone Number</w:t>
            </w:r>
          </w:p>
        </w:tc>
      </w:tr>
    </w:tbl>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874"/>
        <w:gridCol w:w="1085"/>
        <w:gridCol w:w="913"/>
        <w:gridCol w:w="970"/>
        <w:gridCol w:w="1316"/>
        <w:gridCol w:w="970"/>
        <w:gridCol w:w="913"/>
        <w:gridCol w:w="970"/>
        <w:gridCol w:w="1316"/>
        <w:gridCol w:w="950"/>
        <w:gridCol w:w="912"/>
      </w:tblGrid>
      <w:tr>
        <w:trPr>
          <w:trHeight w:val="24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w:t>
            </w:r>
            <w:r>
              <w:rPr>
                <w:rFonts w:ascii="Times New Roman" w:hAnsi="Times New Roman"/>
                <w:b w:val="false"/>
                <w:i w:val="false"/>
                <w:color w:val="000000"/>
                <w:sz w:val="18"/>
                <w:vertAlign w:val="superscript"/>
              </w:rPr>
              <w:t>3</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t>
            </w:r>
            <w:r>
              <w:rPr>
                <w:rFonts w:ascii="Times New Roman" w:hAnsi="Times New Roman"/>
                <w:b w:val="false"/>
                <w:i w:val="false"/>
                <w:color w:val="000000"/>
                <w:sz w:val="18"/>
                <w:vertAlign w:val="superscript"/>
              </w:rPr>
              <w:t>4</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(e)</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(f)</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(h)</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(i)</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(j)</w:t>
            </w:r>
          </w:p>
        </w:tc>
        <w:tc>
          <w:tcPr>
            <w:tcW w:w="912"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(o)</w:t>
            </w:r>
            <w:r>
              <w:rPr>
                <w:rFonts w:ascii="Times New Roman" w:hAnsi="Times New Roman"/>
                <w:b w:val="false"/>
                <w:i w:val="false"/>
                <w:color w:val="000000"/>
                <w:sz w:val="18"/>
                <w:vertAlign w:val="superscript"/>
              </w:rPr>
              <w:t>5</w:t>
            </w:r>
          </w:p>
        </w:tc>
      </w:tr>
      <w:tr>
        <w:trPr>
          <w:trHeight w:val="675" w:hRule="atLeast"/>
        </w:trPr>
        <w:tc>
          <w:tcPr>
            <w:tcW w:w="874"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Year</w:t>
            </w:r>
          </w:p>
        </w:tc>
        <w:tc>
          <w:tcPr>
            <w:tcW w:w="1085"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Earned</w:t>
            </w:r>
          </w:p>
          <w:p>
            <w:pPr>
              <w:spacing w:before="0" w:after="0"/>
              <w:ind w:left="160"/>
              <w:jc w:val="center"/>
            </w:pPr>
            <w:r>
              <w:rPr>
                <w:rFonts w:ascii="Times New Roman" w:hAnsi="Times New Roman"/>
                <w:b w:val="false"/>
                <w:i w:val="false"/>
                <w:color w:val="000000"/>
                <w:sz w:val="14"/>
              </w:rPr>
              <w:t>Premium</w:t>
            </w:r>
          </w:p>
        </w:tc>
        <w:tc>
          <w:tcPr>
            <w:tcW w:w="91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Factor</w:t>
            </w:r>
          </w:p>
        </w:tc>
        <w:tc>
          <w:tcPr>
            <w:tcW w:w="97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(b) × (c)</w:t>
            </w:r>
          </w:p>
        </w:tc>
        <w:tc>
          <w:tcPr>
            <w:tcW w:w="131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Cumulative</w:t>
            </w:r>
          </w:p>
          <w:p>
            <w:pPr>
              <w:spacing w:before="0" w:after="0"/>
              <w:ind w:left="160"/>
              <w:jc w:val="center"/>
            </w:pPr>
            <w:r>
              <w:rPr>
                <w:rFonts w:ascii="Times New Roman" w:hAnsi="Times New Roman"/>
                <w:b w:val="false"/>
                <w:i w:val="false"/>
                <w:color w:val="000000"/>
                <w:sz w:val="14"/>
              </w:rPr>
              <w:t>Loss Ratio</w:t>
            </w:r>
          </w:p>
        </w:tc>
        <w:tc>
          <w:tcPr>
            <w:tcW w:w="97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(d) × (e)</w:t>
            </w:r>
          </w:p>
        </w:tc>
        <w:tc>
          <w:tcPr>
            <w:tcW w:w="913"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Factor</w:t>
            </w:r>
          </w:p>
        </w:tc>
        <w:tc>
          <w:tcPr>
            <w:tcW w:w="97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(b) × (g)</w:t>
            </w:r>
          </w:p>
        </w:tc>
        <w:tc>
          <w:tcPr>
            <w:tcW w:w="1316"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Cumulative</w:t>
            </w:r>
          </w:p>
          <w:p>
            <w:pPr>
              <w:spacing w:before="0" w:after="0"/>
              <w:ind w:left="160"/>
              <w:jc w:val="center"/>
            </w:pPr>
            <w:r>
              <w:rPr>
                <w:rFonts w:ascii="Times New Roman" w:hAnsi="Times New Roman"/>
                <w:b w:val="false"/>
                <w:i w:val="false"/>
                <w:color w:val="000000"/>
                <w:sz w:val="14"/>
              </w:rPr>
              <w:t>Loss Ratio</w:t>
            </w:r>
          </w:p>
        </w:tc>
        <w:tc>
          <w:tcPr>
            <w:tcW w:w="950" w:type="dxa"/>
            <w:tcBorders>
              <w:bottom w:val="single" w:color="000000" w:sz="8"/>
              <w:right w:val="single" w:color="000000" w:sz="8"/>
            </w:tcBorders>
            <w:tcMar>
              <w:top w:w="30" w:type="dxa"/>
              <w:left w:w="30" w:type="dxa"/>
              <w:bottom w:w="15" w:type="dxa"/>
              <w:right w:w="30" w:type="dxa"/>
            </w:tcMar>
            <w:vAlign w:val="bottom"/>
          </w:tcPr>
          <w:p>
            <w:pPr>
              <w:spacing w:before="0" w:after="0"/>
              <w:ind w:left="160"/>
              <w:jc w:val="left"/>
            </w:pPr>
            <w:r>
              <w:rPr>
                <w:rFonts w:ascii="Times New Roman" w:hAnsi="Times New Roman"/>
                <w:b w:val="false"/>
                <w:i w:val="false"/>
                <w:color w:val="000000"/>
                <w:sz w:val="14"/>
              </w:rPr>
              <w:t> </w:t>
            </w:r>
          </w:p>
          <w:p>
            <w:pPr>
              <w:spacing w:before="0" w:after="0"/>
              <w:ind w:left="160"/>
              <w:jc w:val="center"/>
            </w:pPr>
            <w:r>
              <w:rPr>
                <w:rFonts w:ascii="Times New Roman" w:hAnsi="Times New Roman"/>
                <w:b w:val="false"/>
                <w:i w:val="false"/>
                <w:color w:val="000000"/>
                <w:sz w:val="14"/>
              </w:rPr>
              <w:t>(h) × (i)</w:t>
            </w:r>
          </w:p>
        </w:tc>
        <w:tc>
          <w:tcPr>
            <w:tcW w:w="912" w:type="dxa"/>
            <w:tcBorders>
              <w:bottom w:val="single" w:color="000000" w:sz="8"/>
            </w:tcBorders>
            <w:tcMar>
              <w:top w:w="30" w:type="dxa"/>
              <w:left w:w="30" w:type="dxa"/>
              <w:bottom w:w="15" w:type="dxa"/>
              <w:right w:w="30" w:type="dxa"/>
            </w:tcMar>
            <w:vAlign w:val="bottom"/>
          </w:tcPr>
          <w:p>
            <w:pPr>
              <w:spacing w:before="0" w:after="0"/>
              <w:ind w:left="160"/>
              <w:jc w:val="center"/>
            </w:pPr>
            <w:r>
              <w:rPr>
                <w:rFonts w:ascii="Times New Roman" w:hAnsi="Times New Roman"/>
                <w:b w:val="false"/>
                <w:i w:val="false"/>
                <w:color w:val="000000"/>
                <w:sz w:val="14"/>
              </w:rPr>
              <w:t>Policy Year</w:t>
            </w:r>
          </w:p>
          <w:p>
            <w:pPr>
              <w:spacing w:before="0" w:after="0"/>
              <w:ind w:left="160"/>
              <w:jc w:val="center"/>
            </w:pPr>
            <w:r>
              <w:rPr>
                <w:rFonts w:ascii="Times New Roman" w:hAnsi="Times New Roman"/>
                <w:b w:val="false"/>
                <w:i w:val="false"/>
                <w:color w:val="000000"/>
                <w:sz w:val="14"/>
              </w:rPr>
              <w:t>Loss Ratio</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2.770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0.442</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0.40</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2</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0.000</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0.55</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3</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1.194</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0.659</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0.65</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2.245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0.669</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0.67</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5</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3.170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0.678</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0.69</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6</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3.998</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0.686</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0.71</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7</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4.754</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0.695</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0.73</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5.445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0.702</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0.75</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9</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6.075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0.708</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0.76</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10</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6.650</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0.713</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0.76</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11</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7.176</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0.717</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0.76</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12</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7.655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0.720</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0.77</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13</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8.093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0.723</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0.77</w:t>
            </w:r>
          </w:p>
        </w:tc>
      </w:tr>
      <w:tr>
        <w:trPr>
          <w:trHeight w:val="21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14</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0.725</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0.77</w:t>
            </w:r>
          </w:p>
        </w:tc>
      </w:tr>
      <w:tr>
        <w:trPr>
          <w:trHeight w:val="240" w:hRule="atLeast"/>
        </w:trPr>
        <w:tc>
          <w:tcPr>
            <w:tcW w:w="874"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15+</w:t>
            </w:r>
            <w:r>
              <w:rPr>
                <w:rFonts w:ascii="Times New Roman" w:hAnsi="Times New Roman"/>
                <w:b w:val="false"/>
                <w:i w:val="false"/>
                <w:color w:val="000000"/>
                <w:sz w:val="18"/>
                <w:vertAlign w:val="superscript"/>
              </w:rPr>
              <w:t>6</w:t>
            </w:r>
          </w:p>
        </w:tc>
        <w:tc>
          <w:tcPr>
            <w:tcW w:w="108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4.175</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0.493</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8.684</w:t>
            </w:r>
          </w:p>
        </w:tc>
        <w:tc>
          <w:tcPr>
            <w:tcW w:w="97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316" w:type="dxa"/>
            <w:tcBorders>
              <w:bottom w:val="single" w:color="000000" w:sz="8"/>
              <w:right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0.725</w:t>
            </w:r>
          </w:p>
        </w:tc>
        <w:tc>
          <w:tcPr>
            <w:tcW w:w="95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2"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4"/>
              </w:rPr>
              <w:t>0.77</w:t>
            </w:r>
          </w:p>
        </w:tc>
      </w:tr>
      <w:tr>
        <w:trPr>
          <w:trHeight w:val="210" w:hRule="atLeast"/>
        </w:trPr>
        <w:tc>
          <w:tcPr>
            <w:tcW w:w="874"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Total:</w:t>
            </w:r>
          </w:p>
        </w:tc>
        <w:tc>
          <w:tcPr>
            <w:tcW w:w="1085"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(k):</w:t>
            </w:r>
          </w:p>
        </w:tc>
        <w:tc>
          <w:tcPr>
            <w:tcW w:w="13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(l):</w:t>
            </w:r>
          </w:p>
        </w:tc>
        <w:tc>
          <w:tcPr>
            <w:tcW w:w="9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7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(m):</w:t>
            </w:r>
          </w:p>
        </w:tc>
        <w:tc>
          <w:tcPr>
            <w:tcW w:w="131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5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(n):</w:t>
            </w:r>
          </w:p>
        </w:tc>
        <w:tc>
          <w:tcPr>
            <w:tcW w:w="91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22"/>
        </w:rPr>
        <w:t>Benchmark Ratio Since Inception: (l + n)/(k + m): _______</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18"/>
          <w:vertAlign w:val="superscript"/>
        </w:rPr>
        <w:t xml:space="preserve">1 </w:t>
      </w:r>
      <w:r>
        <w:rPr>
          <w:rFonts w:ascii="Times New Roman" w:hAnsi="Times New Roman"/>
          <w:b w:val="false"/>
          <w:i w:val="false"/>
          <w:color w:val="000000"/>
          <w:sz w:val="22"/>
        </w:rPr>
        <w:t>Individual, Group, Individual Medicare Select, or Group Medicare Select only.</w:t>
      </w:r>
    </w:p>
    <w:p>
      <w:pPr>
        <w:spacing w:before="0" w:after="0"/>
        <w:ind w:left="264"/>
        <w:jc w:val="both"/>
      </w:pPr>
      <w:r>
        <w:rPr>
          <w:rFonts w:ascii="Times New Roman" w:hAnsi="Times New Roman"/>
          <w:b w:val="false"/>
          <w:i w:val="false"/>
          <w:color w:val="000000"/>
          <w:sz w:val="18"/>
          <w:vertAlign w:val="superscript"/>
        </w:rPr>
        <w:t xml:space="preserve">2 </w:t>
      </w:r>
      <w:r>
        <w:rPr>
          <w:rFonts w:ascii="Times New Roman" w:hAnsi="Times New Roman"/>
          <w:b w:val="false"/>
          <w:i w:val="false"/>
          <w:color w:val="000000"/>
          <w:sz w:val="22"/>
        </w:rPr>
        <w:t>“SMSBP” = Standardized Medicare Supplement Benefit Plan – Use “P” for prestandardized Medicare supplement benefit plans.</w:t>
      </w:r>
    </w:p>
    <w:p>
      <w:pPr>
        <w:spacing w:before="0" w:after="0"/>
        <w:ind w:left="264"/>
        <w:jc w:val="both"/>
      </w:pPr>
      <w:r>
        <w:rPr>
          <w:rFonts w:ascii="Times New Roman" w:hAnsi="Times New Roman"/>
          <w:b w:val="false"/>
          <w:i w:val="false"/>
          <w:color w:val="000000"/>
          <w:sz w:val="18"/>
          <w:vertAlign w:val="superscript"/>
        </w:rPr>
        <w:t xml:space="preserve">3 </w:t>
      </w:r>
      <w:r>
        <w:rPr>
          <w:rFonts w:ascii="Times New Roman" w:hAnsi="Times New Roman"/>
          <w:b w:val="false"/>
          <w:i w:val="false"/>
          <w:color w:val="000000"/>
          <w:sz w:val="22"/>
        </w:rPr>
        <w:t>Year 1 is the current calendar year - 1. Year 2 is the current calendar year - 2 (etc.). (Example: If the current year is 1991, then: Year 1 is 1990; Year 2 is 1989, etc.)</w:t>
      </w:r>
    </w:p>
    <w:p>
      <w:pPr>
        <w:spacing w:before="0" w:after="0"/>
        <w:ind w:left="264"/>
        <w:jc w:val="both"/>
      </w:pPr>
      <w:r>
        <w:rPr>
          <w:rFonts w:ascii="Times New Roman" w:hAnsi="Times New Roman"/>
          <w:b w:val="false"/>
          <w:i w:val="false"/>
          <w:color w:val="000000"/>
          <w:sz w:val="18"/>
          <w:vertAlign w:val="superscript"/>
        </w:rPr>
        <w:t xml:space="preserve">4 </w:t>
      </w:r>
      <w:r>
        <w:rPr>
          <w:rFonts w:ascii="Times New Roman" w:hAnsi="Times New Roman"/>
          <w:b w:val="false"/>
          <w:i w:val="false"/>
          <w:color w:val="000000"/>
          <w:sz w:val="22"/>
        </w:rPr>
        <w:t>For the calendar year on the appropriate line in column (a), the premium earned during that year for policies issued in that year.</w:t>
      </w:r>
    </w:p>
    <w:p>
      <w:pPr>
        <w:spacing w:before="0" w:after="0"/>
        <w:ind w:left="264"/>
        <w:jc w:val="both"/>
      </w:pPr>
      <w:r>
        <w:rPr>
          <w:rFonts w:ascii="Times New Roman" w:hAnsi="Times New Roman"/>
          <w:b w:val="false"/>
          <w:i w:val="false"/>
          <w:color w:val="000000"/>
          <w:sz w:val="18"/>
          <w:vertAlign w:val="superscript"/>
        </w:rPr>
        <w:t xml:space="preserve">5 </w:t>
      </w:r>
      <w:r>
        <w:rPr>
          <w:rFonts w:ascii="Times New Roman" w:hAnsi="Times New Roman"/>
          <w:b w:val="false"/>
          <w:i w:val="false"/>
          <w:color w:val="000000"/>
          <w:sz w:val="22"/>
        </w:rPr>
        <w:t>These loss ratios are not explicitly used in computing the benchmark loss ratios. They are the loss ratios, on a policy year basis, which result in the cumulative loss ratios displayed on this worksheet. They are shown here for informational purposes.</w:t>
      </w:r>
    </w:p>
    <w:p>
      <w:pPr>
        <w:spacing w:before="0" w:after="0"/>
        <w:ind w:left="120"/>
        <w:jc w:val="both"/>
      </w:pPr>
      <w:r>
        <w:rPr>
          <w:rFonts w:ascii="Times New Roman" w:hAnsi="Times New Roman"/>
          <w:b w:val="false"/>
          <w:i w:val="false"/>
          <w:color w:val="000000"/>
          <w:sz w:val="18"/>
          <w:vertAlign w:val="superscript"/>
        </w:rPr>
        <w:t xml:space="preserve">6 </w:t>
      </w:r>
      <w:r>
        <w:rPr>
          <w:rFonts w:ascii="Times New Roman" w:hAnsi="Times New Roman"/>
          <w:b w:val="false"/>
          <w:i w:val="false"/>
          <w:color w:val="000000"/>
          <w:sz w:val="22"/>
        </w:rPr>
        <w:t>To include the earned premium for all years prior to as well as the 15th year prior to the current year.</w:t>
      </w:r>
    </w:p>
    <w:p>
      <w:pPr>
        <w:spacing w:before="0" w:after="0"/>
        <w:ind w:left="120"/>
        <w:jc w:val="center"/>
      </w:pPr>
      <w:r>
        <w:rPr>
          <w:rFonts w:ascii="Times New Roman" w:hAnsi="Times New Roman"/>
          <w:b w:val="false"/>
          <w:i w:val="false"/>
          <w:color w:val="000000"/>
          <w:sz w:val="22"/>
        </w:rPr>
        <w:t>APPENDIX B</w:t>
      </w:r>
    </w:p>
    <w:p>
      <w:pPr>
        <w:spacing w:before="0" w:after="0"/>
        <w:ind w:left="120"/>
        <w:jc w:val="center"/>
      </w:pPr>
      <w:r>
        <w:rPr>
          <w:rFonts w:ascii="Times New Roman" w:hAnsi="Times New Roman"/>
          <w:b w:val="false"/>
          <w:i w:val="false"/>
          <w:color w:val="000000"/>
          <w:sz w:val="22"/>
        </w:rPr>
        <w:t>DISCLOSURE STATEMENTS</w:t>
      </w:r>
    </w:p>
    <w:p>
      <w:pPr>
        <w:spacing w:before="0" w:after="0"/>
        <w:ind w:left="120"/>
        <w:jc w:val="center"/>
      </w:pPr>
      <w:r>
        <w:rPr>
          <w:rFonts w:ascii="Times New Roman" w:hAnsi="Times New Roman"/>
          <w:b w:val="false"/>
          <w:i w:val="false"/>
          <w:color w:val="000000"/>
          <w:sz w:val="22"/>
        </w:rPr>
        <w:t>Instructions for Use of the Disclosure Statements for Health Insurance Policies</w:t>
      </w:r>
    </w:p>
    <w:p>
      <w:pPr>
        <w:spacing w:before="0" w:after="0"/>
        <w:ind w:left="120"/>
        <w:jc w:val="center"/>
      </w:pPr>
      <w:r>
        <w:rPr>
          <w:rFonts w:ascii="Times New Roman" w:hAnsi="Times New Roman"/>
          <w:b w:val="false"/>
          <w:i w:val="false"/>
          <w:color w:val="000000"/>
          <w:sz w:val="22"/>
        </w:rPr>
        <w:t>Sold to Medicare Beneficiaries that Duplicate Medicare Benefits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 </w:t>
      </w:r>
      <w:r>
        <w:rPr>
          <w:rFonts w:ascii="Times New Roman" w:hAnsi="Times New Roman"/>
          <w:b w:val="false"/>
          <w:i w:val="false"/>
          <w:color w:val="000000"/>
          <w:sz w:val="22"/>
        </w:rPr>
        <w:t>Section 1882(d) of the federal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1395s</w:t>
      </w:r>
      <w:r>
        <w:rPr>
          <w:rFonts w:ascii="Times New Roman" w:hAnsi="Times New Roman"/>
          <w:b w:val="false"/>
          <w:i w:val="false"/>
          <w:color w:val="000000"/>
          <w:sz w:val="22"/>
        </w:rPr>
        <w:t>s] prohibits the sale of a health insurance policy (the term policy includes certificate) to a Medicare beneficiary that duplicates Medicare benefits unless it will pay benefits without regard to a beneficiary’s other health coverage and it includes the prescribed disclosure statement on or together with the application for the policy.</w:t>
      </w:r>
    </w:p>
    <w:p>
      <w:pPr>
        <w:spacing w:before="0" w:after="0"/>
        <w:ind w:left="120"/>
        <w:jc w:val="both"/>
      </w:pPr>
      <w:r>
        <w:rPr>
          <w:rFonts w:ascii="Times New Roman" w:hAnsi="Times New Roman"/>
          <w:b w:val="false"/>
          <w:i w:val="false"/>
          <w:color w:val="000000"/>
          <w:sz w:val="22"/>
        </w:rPr>
        <w:t>2. All types of health insurance policies that duplicate Medicare benefits shall include one of the attached disclosure statements, according to the particular policy type involved, on the application or together with the application. The disclosure statement may not significantly or materially vary from the attached statements in terms of language or format (using not less than 12-point type size, type-proportional spacing, bold characters, line spacing, and boxes around text).</w:t>
      </w:r>
    </w:p>
    <w:p>
      <w:pPr>
        <w:spacing w:before="0" w:after="0"/>
        <w:ind w:left="120"/>
        <w:jc w:val="both"/>
      </w:pPr>
      <w:r>
        <w:rPr>
          <w:rFonts w:ascii="Times New Roman" w:hAnsi="Times New Roman"/>
          <w:b w:val="false"/>
          <w:i w:val="false"/>
          <w:color w:val="000000"/>
          <w:sz w:val="22"/>
        </w:rPr>
        <w:t>3. State and federal law prohibits issuers from selling a Medicare supplement policy or certificate to a person that already has a Medicare supplement policy or certificate except as a replacement policy.</w:t>
      </w:r>
    </w:p>
    <w:p>
      <w:pPr>
        <w:spacing w:before="0" w:after="0"/>
        <w:ind w:left="120"/>
        <w:jc w:val="both"/>
      </w:pPr>
      <w:r>
        <w:rPr>
          <w:rFonts w:ascii="Times New Roman" w:hAnsi="Times New Roman"/>
          <w:b w:val="false"/>
          <w:i w:val="false"/>
          <w:color w:val="000000"/>
          <w:sz w:val="22"/>
        </w:rPr>
        <w:t>4. Property/casualty and life insurance policies are not considered health insurance.</w:t>
      </w:r>
    </w:p>
    <w:p>
      <w:pPr>
        <w:spacing w:before="0" w:after="0"/>
        <w:ind w:left="120"/>
        <w:jc w:val="both"/>
      </w:pPr>
      <w:r>
        <w:rPr>
          <w:rFonts w:ascii="Times New Roman" w:hAnsi="Times New Roman"/>
          <w:b w:val="false"/>
          <w:i w:val="false"/>
          <w:color w:val="000000"/>
          <w:sz w:val="22"/>
        </w:rPr>
        <w:t>5. Disability income policies are not considered to provide benefits that duplicate Medicare.</w:t>
      </w:r>
    </w:p>
    <w:p>
      <w:pPr>
        <w:spacing w:before="0" w:after="0"/>
        <w:ind w:left="120"/>
        <w:jc w:val="both"/>
      </w:pPr>
      <w:r>
        <w:rPr>
          <w:rFonts w:ascii="Times New Roman" w:hAnsi="Times New Roman"/>
          <w:b w:val="false"/>
          <w:i w:val="false"/>
          <w:color w:val="000000"/>
          <w:sz w:val="22"/>
        </w:rPr>
        <w:t>6. Long-term care insurance policies that coordinate with Medicare and other health insurance are not considered to provide benefits that duplicate Medicare.</w:t>
      </w:r>
    </w:p>
    <w:p>
      <w:pPr>
        <w:spacing w:before="0" w:after="0"/>
        <w:ind w:left="120"/>
        <w:jc w:val="both"/>
      </w:pPr>
      <w:r>
        <w:rPr>
          <w:rFonts w:ascii="Times New Roman" w:hAnsi="Times New Roman"/>
          <w:b w:val="false"/>
          <w:i w:val="false"/>
          <w:color w:val="000000"/>
          <w:sz w:val="22"/>
        </w:rPr>
        <w:t>7. The federal law does not preempt state laws that are more stringent than the federal requirements.</w:t>
      </w:r>
    </w:p>
    <w:p>
      <w:pPr>
        <w:spacing w:before="0" w:after="0"/>
        <w:ind w:left="120"/>
        <w:jc w:val="both"/>
      </w:pPr>
      <w:r>
        <w:rPr>
          <w:rFonts w:ascii="Times New Roman" w:hAnsi="Times New Roman"/>
          <w:b w:val="false"/>
          <w:i w:val="false"/>
          <w:color w:val="000000"/>
          <w:sz w:val="22"/>
        </w:rPr>
        <w:t>8. The federal law does not preempt existing state form filing requirements.</w:t>
      </w:r>
    </w:p>
    <w:p>
      <w:pPr>
        <w:spacing w:before="0" w:after="0"/>
        <w:ind w:left="120"/>
        <w:jc w:val="both"/>
      </w:pPr>
      <w:r>
        <w:rPr>
          <w:rFonts w:ascii="Times New Roman" w:hAnsi="Times New Roman"/>
          <w:b w:val="false"/>
          <w:i w:val="false"/>
          <w:color w:val="000000"/>
          <w:sz w:val="22"/>
        </w:rPr>
        <w:t xml:space="preserve">9. </w:t>
      </w:r>
      <w:r>
        <w:rPr>
          <w:rFonts w:ascii="Times New Roman" w:hAnsi="Times New Roman"/>
          <w:b w:val="false"/>
          <w:i w:val="false"/>
          <w:color w:val="000000"/>
          <w:sz w:val="22"/>
        </w:rPr>
        <w:t>Section 1882 of the federal Social Security Act</w:t>
      </w:r>
      <w:r>
        <w:rPr>
          <w:rFonts w:ascii="Times New Roman" w:hAnsi="Times New Roman"/>
          <w:b w:val="false"/>
          <w:i w:val="false"/>
          <w:color w:val="000000"/>
          <w:sz w:val="22"/>
        </w:rPr>
        <w:t xml:space="preserve"> was amended in Subsection (d)(3)(A) to allow for alternative disclosure statements. The disclosure statements already in Appendix B remain. An issuer may use either disclosure statement with the requisite insurance product. However, issuers should use either the original disclosure statements or the alternative disclosure statements and not use both simultaneously.</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[Original disclosure statement for policies that provide benefits for expenses incurred for an accidental injury only.]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INSURANCE DUPLICATES SOME MEDICARE BENEFITS</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This is not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provides limited benefits, if you meet the policy conditions, for hospital or medical expenses that result from accidental injury.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insurance duplicates Medicare benefits when it pays: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 or medical expenses up to the maximum stated in the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[Original disclosure statement for policies that provide benefits for specified limited services.]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INSURANCE DUPLICATES SOME MEDICARE BENEFITS</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This is not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This insurance provides limited benefits, if you meet the policy conditions, for expenses relating to the specific services listed in the policy. It does not pay your Medicare deductibles or coinsurance and is not a substitute for Medicare Supplement insurance.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insurance duplicates Medicare benefits when: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Any of the services covered by the policy are also covered by Medicare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Other approved items and services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[Original disclosure statement for policies that reimburse expenses incurred for specified diseases or other specified impairments. This includes expense-incurred cancer, specified disease and other types of health insurance policies that limit reimbursement to named medical conditions.]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INSURANCE DUPLICATES SOME MEDICARE BENEFITS</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This is not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provides limited benefits, if you meet the policy conditions, for hospital or medical expenses only when you are treated for one of the specific diseases or health conditions listed in the policy.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insurance duplicates Medicare benefits when it pays: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 or medical expenses up to the maximum stated in the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[Original disclosure statement for policies that pay fixed dollar amounts for specified diseases or other specified impairments. This includes cancer, specified disease, and other health insurance policies that pay a scheduled benefit or specific payment based on diagnosis of the conditions named in the policy.]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INSURANCE DUPLICATES SOME MEDICARE BENEFITS</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This is not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pays a fixed amount, regardless of your expenses, if you meet the policy conditions, for one of the specific diseases or health conditions named in the policy.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insurance duplicates Medicare benefits because Medicare generally pays for most of the expenses for the diagnosis and treatment of the specific conditions or diagnoses named in the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Other approved items and services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[Original disclosure statement for indemnity policies and other policies that pay a fixed dollar amount per day, excluding long-term care policies.]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INSURANCE DUPLICATES SOME MEDICARE BENEFITS</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This is not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pays a fixed dollar amount, regardless of your expenses, for each day you meet the policy conditions.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insurance duplicates Medicare benefits when: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Any expenses or services covered by the policy are also covered by Medicare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[Original disclosure statement for policies that provide benefits upon both an expense-incurred and fixed indemnity basis.]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INSURANCE DUPLICATES SOME MEDICARE BENEFITS</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This is not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pays limited reimbursement for expenses if you meet the conditions listed in the policy. It also pays a fixed amount, regardless of your expenses, if you meet other policy conditions.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insurance duplicates Medicare benefits when:</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Any expenses or services covered by the policy are also covered by Medicare; or</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It pays the fixed dollar amount stated in the policy and Medicare covers the same event.</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 care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Other approved items and services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[Original disclosure statement for other health insurance policies not specifically identified in the preceding statements.]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INSURANCE DUPLICATES SOME MEDICARE BENEFITS</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This is not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provides limited benefits if you meet the conditions listed in the policy.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insurance duplicates Medicare benefits when it pays: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The benefits stated in the policy and coverage for the same event is provided by Medicare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Other approved items and services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[Alternative disclosure statement for policies that provide benefits for expenses incurred for an accidental injury only.]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IS NOT MEDICARE SUPPLEMENT INSURANCE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Some health care services paid for by Medicare may also trigger the payment of benefits from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provides limited benefits, if you meet the policy conditions, for hospital or medical expenses that result from accidental injury.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policy must pay benefits without regard to other health benefit coverage to which you may be entitled under Medicare or other insurance.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[Alternative disclosure statement for policies that provide benefits for specified limited services.]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IS NOT MEDICARE SUPPLEMENT INSURANCE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Some health care services paid for by Medicare may also trigger the payment of benefits under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provides limited benefits, if you meet the policy conditions, for expenses relating to the specific services listed in the policy.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policy must pay benefits without regard to other health benefit coverage to which you may be entitled under Medicare or other insurance.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[Alternative disclosure statement for policies that reimburse expenses incurred for specified diseases or other specified impairments. This includes expense-incurred cancer, specified disease and other types of health insurance policies that limit reimbursement to named medical conditions.]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IS NOT MEDICARE SUPPLEMENT INSURANCE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Some health care services paid for by Medicare may also trigger the payment of benefits from this policy. 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provides limited benefits, if you meet the policy conditions, for hospital or medical expenses only when you are treated for one of the specific diseases or health conditions listed in the policy.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policy must pay benefits without regard to other health benefit coverage to which you may be entitled under Medicare or other insurance.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[Alternative disclosure statement for policies that pay fixed dollar amounts for specified diseases or other specified impairments. This includes cancer, specified disease, and other health insurance policies that pay a scheduled benefit or specific payment based on diagnosis of the conditions named in the policy.]</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IS NOT MEDICARE SUPPLEMENT INSURANCE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Some health care services paid for by Medicare may also trigger the payment of benefits from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pays a fixed amount, regardless of your expenses, if you meet the policy conditions, for one of the specific diseases or health conditions named in the policy.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policy must pay benefits without regard to other health benefit coverage to which you may be entitled under Medicare or other insurance.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[Alternative disclosure statement for indemnity policies and other policies that pay a fixed dollar amount per day, excluding long-term care policies.]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IS NOT MEDICARE SUPPLEMENT INSURANCE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Some health care services paid for by Medicare may also trigger the payment of benefits from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This insurance pays a fixed dollar amount, regardless of your expenses, for each day you meet the policy conditions. It does not pay your Medicare deductibles or coinsurance and is not a substitute for Medicare Supplement insurance. </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policy must pay benefits without regard to other health benefit coverage to which you may be entitled under Medicare or other insurance.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[Alternative disclosure statement for policies that provide benefits upon both an expense-incurred and fixed indemnity basis.]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IS NOT MEDICARE SUPPLEMENT INSURANCE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Some health care services paid for by Medicare may also trigger the payment of benefits from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pays limited reimbursement for expenses if you meet the conditions listed in the policy. It also pays a fixed amount, regardless of your expenses, if you meet other policy conditions.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Physician services</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 care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policy must pay benefits without regard to other health benefit coverage to which you may be entitled under Medicare or other insurance.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pageBreakBefore/>
        <w:spacing w:before="0" w:after="0"/>
        <w:ind w:left="120"/>
        <w:jc w:val="left"/>
      </w:pPr>
    </w:p>
    <w:p>
      <w:pPr>
        <w:spacing w:before="0" w:after="0"/>
        <w:ind w:left="120"/>
        <w:jc w:val="both"/>
      </w:pPr>
      <w:r>
        <w:rPr>
          <w:rFonts w:ascii="Times New Roman" w:hAnsi="Times New Roman"/>
          <w:b w:val="false"/>
          <w:i w:val="false"/>
          <w:color w:val="000000"/>
          <w:sz w:val="22"/>
        </w:rPr>
        <w:t>[Alternative disclosure statement for other health insurance policies not specifically identified in the preceding statements.]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510" w:hRule="atLeast"/>
        </w:trPr>
        <w:tc>
          <w:tcPr>
            <w:tcW w:w="11190" w:type="dxa"/>
            <w:tcBorders/>
            <w:tcMar>
              <w:top w:w="30" w:type="dxa"/>
              <w:left w:w="30" w:type="dxa"/>
              <w:bottom w:w="15" w:type="dxa"/>
              <w:right w:w="30" w:type="dxa"/>
            </w:tcMar>
            <w:vAlign w:val="top"/>
          </w:tcPr>
          <w:p>
            <w:pPr>
              <w:spacing w:before="0" w:after="0"/>
              <w:ind w:left="160"/>
              <w:jc w:val="center"/>
            </w:pPr>
            <w:r>
              <w:rPr>
                <w:rFonts w:ascii="Times New Roman" w:hAnsi="Times New Roman"/>
                <w:b/>
                <w:i w:val="false"/>
                <w:color w:val="000000"/>
                <w:sz w:val="20"/>
              </w:rPr>
              <w:t>IMPORTANT NOTICE TO PERSONS ON MEDICARE</w:t>
            </w:r>
          </w:p>
          <w:p>
            <w:pPr>
              <w:spacing w:before="0" w:after="0"/>
              <w:ind w:left="160"/>
              <w:jc w:val="center"/>
            </w:pPr>
            <w:r>
              <w:rPr>
                <w:rFonts w:ascii="Times New Roman" w:hAnsi="Times New Roman"/>
                <w:b/>
                <w:i w:val="false"/>
                <w:color w:val="000000"/>
                <w:sz w:val="20"/>
              </w:rPr>
              <w:t>THIS IS NOT MEDICARE SUPPLEMENT INSURANCE</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Some health care services paid for by Medicare may also trigger the payment of benefits from this policy.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insurance provides limited benefits if you meet the conditions listed in the policy. It does not pay your Medicare deductibles or coinsurance and is not a substitute for Medicare Supplement insurance.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generally pays for most or all of these expenses.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Medicare pays extensive benefits for medically necessary services regardless of the reason you need them. These include:</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Hospitalization</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 xml:space="preserve">Physician services </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Hospice</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Outpatient Prescription Drugs if you are enrolled in Medicare Part D</w:t>
      </w:r>
    </w:p>
    <w:p>
      <w:pPr>
        <w:spacing w:before="0" w:after="0"/>
        <w:ind w:left="120"/>
        <w:jc w:val="left"/>
      </w:pPr>
      <w:r>
        <w:rPr>
          <w:rFonts w:ascii="Times New Roman" w:hAnsi="Times New Roman"/>
          <w:b w:val="false"/>
          <w:i w:val="false"/>
          <w:color w:val="000000"/>
          <w:sz w:val="22"/>
        </w:rPr>
        <w:t>     ●   </w:t>
      </w:r>
      <w:r>
        <w:rPr>
          <w:rFonts w:ascii="Times New Roman" w:hAnsi="Times New Roman"/>
          <w:b w:val="false"/>
          <w:i w:val="false"/>
          <w:color w:val="000000"/>
          <w:sz w:val="22"/>
        </w:rPr>
        <w:t>Other approved items and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This policy must pay benefits without regard to other health benefit coverage to which you may be entitled under Medicare or other insurance.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85" w:hRule="atLeast"/>
        </w:trPr>
        <w:tc>
          <w:tcPr>
            <w:tcW w:w="11190" w:type="dxa"/>
            <w:tcBorders/>
            <w:tcMar>
              <w:top w:w="30" w:type="dxa"/>
              <w:left w:w="30" w:type="dxa"/>
              <w:bottom w:w="15" w:type="dxa"/>
              <w:right w:w="30" w:type="dxa"/>
            </w:tcMar>
            <w:vAlign w:val="top"/>
          </w:tcPr>
          <w:p>
            <w:pPr>
              <w:spacing w:before="0" w:after="0"/>
              <w:ind w:left="0"/>
              <w:jc w:val="center"/>
            </w:pPr>
            <w:r>
              <w:rPr>
                <w:rFonts w:ascii="Times New Roman" w:hAnsi="Times New Roman"/>
                <w:b/>
                <w:i w:val="false"/>
                <w:color w:val="000000"/>
                <w:sz w:val="20"/>
              </w:rPr>
              <w:t>Before You Buy This Insurance</w:t>
            </w:r>
          </w:p>
        </w:tc>
      </w:tr>
    </w:tbl>
    <w:tbl>
      <w:tblPr>
        <w:tblW w:w="5000" w:type="pct"/>
        <w:tblCellSpacing w:w="0" w:type="auto"/>
        <w:tblBorders>
          <w:top w:val="none"/>
          <w:left w:val="none"/>
          <w:bottom w:val="none"/>
          <w:right w:val="none"/>
          <w:insideH w:val="none"/>
          <w:insideV w:val="none"/>
        </w:tblBorders>
        <w:tblLayout w:type="fixed"/>
      </w:tblPr>
      <w:tblGrid>
        <w:gridCol w:w="922"/>
        <w:gridCol w:w="10598"/>
      </w:tblGrid>
      <w:tr>
        <w:trPr>
          <w:trHeight w:val="27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Check the coverage in </w:t>
            </w:r>
            <w:r>
              <w:rPr>
                <w:rFonts w:ascii="Times New Roman" w:hAnsi="Times New Roman"/>
                <w:b/>
                <w:i w:val="false"/>
                <w:color w:val="000000"/>
                <w:sz w:val="20"/>
              </w:rPr>
              <w:t>all</w:t>
            </w:r>
            <w:r>
              <w:rPr>
                <w:rFonts w:ascii="Times New Roman" w:hAnsi="Times New Roman"/>
                <w:b w:val="false"/>
                <w:i w:val="false"/>
                <w:color w:val="000000"/>
                <w:sz w:val="20"/>
              </w:rPr>
              <w:t xml:space="preserve"> health insurance policies you already have.</w:t>
            </w:r>
          </w:p>
        </w:tc>
      </w:tr>
      <w:tr>
        <w:trPr>
          <w:trHeight w:val="93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For more information about Medicare and Medicare Supplement insurance, review the [insert name of most recent version of </w:t>
            </w:r>
            <w:r>
              <w:rPr>
                <w:rFonts w:ascii="Times New Roman" w:hAnsi="Times New Roman"/>
                <w:b w:val="false"/>
                <w:i/>
                <w:color w:val="000000"/>
                <w:sz w:val="20"/>
              </w:rPr>
              <w:t>2019 Choosing a Medigap Policy: Guide to Health Insurance for People with Medicare</w:t>
            </w:r>
            <w:r>
              <w:rPr>
                <w:rFonts w:ascii="Times New Roman" w:hAnsi="Times New Roman"/>
                <w:b w:val="false"/>
                <w:i w:val="false"/>
                <w:color w:val="000000"/>
                <w:sz w:val="20"/>
              </w:rPr>
              <w:t>, issued by Centers for Medicare and Medicaid Services], available from the insurance company.</w:t>
            </w:r>
          </w:p>
        </w:tc>
      </w:tr>
      <w:tr>
        <w:trPr>
          <w:trHeight w:val="480" w:hRule="atLeast"/>
        </w:trPr>
        <w:tc>
          <w:tcPr>
            <w:tcW w:w="92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 ✓ </w:t>
            </w:r>
          </w:p>
        </w:tc>
        <w:tc>
          <w:tcPr>
            <w:tcW w:w="1059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help in understanding your health insurance, contact the Senior Health Insurance Information Program (SHIIP) of the Iowa Insurance Division.</w:t>
            </w:r>
          </w:p>
        </w:tc>
      </w:tr>
    </w:tbl>
    <w:p>
      <w:pPr>
        <w:spacing w:before="0" w:after="0"/>
        <w:ind w:left="120"/>
        <w:jc w:val="center"/>
      </w:pPr>
      <w:r>
        <w:rPr>
          <w:rFonts w:ascii="Times New Roman" w:hAnsi="Times New Roman"/>
          <w:b w:val="false"/>
          <w:i w:val="false"/>
          <w:color w:val="000000"/>
          <w:sz w:val="22"/>
        </w:rPr>
        <w:t>APPENDIX C</w:t>
      </w:r>
    </w:p>
    <w:p>
      <w:pPr>
        <w:spacing w:before="0" w:after="0"/>
        <w:ind w:left="120"/>
        <w:jc w:val="center"/>
      </w:pPr>
      <w:r>
        <w:rPr>
          <w:rFonts w:ascii="Times New Roman" w:hAnsi="Times New Roman"/>
          <w:b w:val="false"/>
          <w:i w:val="false"/>
          <w:color w:val="000000"/>
          <w:sz w:val="22"/>
        </w:rPr>
        <w:t>STATEMENTS AND QUESTIONS FOR APPLICATION FORMS RELATED TO DUPLICATE OR REPLACEMENT COVERAGE</w:t>
      </w:r>
    </w:p>
    <w:p>
      <w:pPr>
        <w:spacing w:before="0" w:after="0"/>
        <w:ind w:left="120"/>
        <w:jc w:val="left"/>
      </w:pPr>
      <w:r>
        <w:rPr>
          <w:rFonts w:ascii="Times New Roman" w:hAnsi="Times New Roman"/>
          <w:b/>
          <w:i w:val="false"/>
          <w:color w:val="000000"/>
          <w:sz w:val="22"/>
          <w:u w:val="single"/>
        </w:rPr>
        <w:t>Statements</w:t>
      </w:r>
    </w:p>
    <w:p>
      <w:pPr>
        <w:spacing w:before="0" w:after="0"/>
        <w:ind w:left="120"/>
        <w:jc w:val="both"/>
      </w:pPr>
      <w:r>
        <w:rPr>
          <w:rFonts w:ascii="Times New Roman" w:hAnsi="Times New Roman"/>
          <w:b w:val="false"/>
          <w:i w:val="false"/>
          <w:color w:val="000000"/>
          <w:sz w:val="22"/>
        </w:rPr>
        <w:t>(1) You do not need more than one Medicare supplement policy.</w:t>
      </w:r>
    </w:p>
    <w:p>
      <w:pPr>
        <w:spacing w:before="0" w:after="0"/>
        <w:ind w:left="120"/>
        <w:jc w:val="both"/>
      </w:pPr>
      <w:r>
        <w:rPr>
          <w:rFonts w:ascii="Times New Roman" w:hAnsi="Times New Roman"/>
          <w:b w:val="false"/>
          <w:i w:val="false"/>
          <w:color w:val="000000"/>
          <w:sz w:val="22"/>
        </w:rPr>
        <w:t>(2) If you purchase this [policy or certificate], you may want to evaluate your existing health coverage and decide if you need multiple coverages.</w:t>
      </w:r>
    </w:p>
    <w:p>
      <w:pPr>
        <w:spacing w:before="0" w:after="0"/>
        <w:ind w:left="120"/>
        <w:jc w:val="both"/>
      </w:pPr>
      <w:r>
        <w:rPr>
          <w:rFonts w:ascii="Times New Roman" w:hAnsi="Times New Roman"/>
          <w:b w:val="false"/>
          <w:i w:val="false"/>
          <w:color w:val="000000"/>
          <w:sz w:val="22"/>
        </w:rPr>
        <w:t>(3) You may be eligible for benefits under Medicaid and may not need a Medicare supplement [policy or certificate].</w:t>
      </w:r>
    </w:p>
    <w:p>
      <w:pPr>
        <w:spacing w:before="0" w:after="0"/>
        <w:ind w:left="120"/>
        <w:jc w:val="both"/>
      </w:pPr>
      <w:r>
        <w:rPr>
          <w:rFonts w:ascii="Times New Roman" w:hAnsi="Times New Roman"/>
          <w:b w:val="false"/>
          <w:i w:val="false"/>
          <w:color w:val="000000"/>
          <w:sz w:val="22"/>
        </w:rPr>
        <w:t>(4) If, after purchasing this [policy or certificate], you become eligible for Medicaid, the benefits and premiums under your Medicare supplement [policy or certificate] can be suspended, if requested, during your entitlement to benefits under Medicaid for 24 months. You must request this suspension within 90 days of becoming eligible for Medicaid. If you are no longer entitled to Medicaid, your suspended Medicare supplement [policy or certificate] (or, if that is no longer available, a substantially equivalent [policy or certificate]) will be reinstituted if requested within 90 days of losing your Medicaid eligibility. If the Medicare supplement [policy or certificate] provided coverage for outpatient prescription drugs and you enrolled in Medicare Part D while your [policy or certificate] was suspended, the reinstituted [policy or certificate] will not have outpatient prescription drug coverage, but will otherwise be substantially equivalent to your coverage before the date of the suspension.</w:t>
      </w:r>
    </w:p>
    <w:p>
      <w:pPr>
        <w:spacing w:before="0" w:after="0"/>
        <w:ind w:left="120"/>
        <w:jc w:val="both"/>
      </w:pPr>
      <w:r>
        <w:rPr>
          <w:rFonts w:ascii="Times New Roman" w:hAnsi="Times New Roman"/>
          <w:b w:val="false"/>
          <w:i w:val="false"/>
          <w:color w:val="000000"/>
          <w:sz w:val="22"/>
        </w:rPr>
        <w:t>(5) If you are eligible for and have enrolled in a Medicare supplement [policy or certificate] by reason of disability and you later become covered by an employer or union-based group health plan, the benefits and premiums under your Medicare supplement [policy or certificate] can be suspended, if requested, while you are covered under the employer or union-based group health plan. If you suspend your Medicare supplement [policy or certificate] under these circumstances, and later lose your employer or union-based group health plan, your suspended Medicare supplement [policy or certificate] (or, if that is no longer available, a substantially equivalent [policy or certificate],) will be reinstituted if requested within 90 days of losing your employer or union-based group health plan. If the Medicare supplement [policy or certificate] provided coverage for outpatient prescription drugs and you enrolled in Medicare Part D while your [policy or certificate] was suspended, the reinstituted [policy or certificate] will not have outpatient prescription drug coverage, but will otherwise be substantially equivalent to your coverage before the date of the suspension.</w:t>
      </w:r>
    </w:p>
    <w:p>
      <w:pPr>
        <w:spacing w:before="0" w:after="0"/>
        <w:ind w:left="120"/>
        <w:jc w:val="both"/>
      </w:pPr>
      <w:r>
        <w:rPr>
          <w:rFonts w:ascii="Times New Roman" w:hAnsi="Times New Roman"/>
          <w:b w:val="false"/>
          <w:i w:val="false"/>
          <w:color w:val="000000"/>
          <w:sz w:val="22"/>
        </w:rPr>
        <w:t>(6) Counseling services may be available in your state to provide advice concerning your purchase of Medicare supplement insurance and concerning medical assistance through the state Medicaid program, including benefits as a Qualified Medicare Beneficiary (QMB) and a Specified Low-Income Medicare Beneficiary (SLMB).</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i w:val="false"/>
          <w:color w:val="000000"/>
          <w:sz w:val="22"/>
          <w:u w:val="single"/>
        </w:rPr>
        <w:t>Questions</w:t>
      </w:r>
    </w:p>
    <w:p>
      <w:pPr>
        <w:spacing w:before="0" w:after="0"/>
        <w:ind w:left="120"/>
        <w:jc w:val="both"/>
      </w:pPr>
      <w:r>
        <w:rPr>
          <w:rFonts w:ascii="Times New Roman" w:hAnsi="Times New Roman"/>
          <w:b w:val="false"/>
          <w:i w:val="false"/>
          <w:color w:val="000000"/>
          <w:sz w:val="22"/>
        </w:rPr>
        <w:t>If you lost or are losing other health insurance coverage and received a notice from your prior insurance company saying you were eligible for guaranteed issue of a Medicare supplement insurance [policy or certificate], or that you had certain rights to buy such a [policy or certificate], you may be guaranteed acceptance in one or more of our Medicare supplement plans. Please include a copy of the notice from your prior insurance company with your application.</w:t>
      </w:r>
    </w:p>
    <w:p>
      <w:pPr>
        <w:spacing w:before="0" w:after="0"/>
        <w:ind w:left="120"/>
        <w:jc w:val="both"/>
      </w:pPr>
      <w:r>
        <w:rPr>
          <w:rFonts w:ascii="Times New Roman" w:hAnsi="Times New Roman"/>
          <w:b w:val="false"/>
          <w:i w:val="false"/>
          <w:color w:val="000000"/>
          <w:sz w:val="22"/>
        </w:rPr>
        <w:t>PLEASE ANSWER ALL QUESTIONS.</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(Please mark Yes or No below with an “X”.)</w:t>
      </w:r>
    </w:p>
    <w:p>
      <w:pPr>
        <w:spacing w:before="0" w:after="0"/>
        <w:ind w:left="120"/>
        <w:jc w:val="both"/>
      </w:pPr>
      <w:r>
        <w:rPr>
          <w:rFonts w:ascii="Times New Roman" w:hAnsi="Times New Roman"/>
          <w:b w:val="false"/>
          <w:i w:val="false"/>
          <w:color w:val="000000"/>
          <w:sz w:val="22"/>
        </w:rPr>
        <w:t>To the best of your knowledge,</w:t>
      </w:r>
    </w:p>
    <w:p>
      <w:pPr>
        <w:spacing w:before="0" w:after="0"/>
        <w:ind w:left="120"/>
        <w:jc w:val="both"/>
      </w:pPr>
      <w:r>
        <w:rPr>
          <w:rFonts w:ascii="Times New Roman" w:hAnsi="Times New Roman"/>
          <w:b w:val="false"/>
          <w:i w:val="false"/>
          <w:color w:val="000000"/>
          <w:sz w:val="22"/>
        </w:rPr>
        <w:t>(1) (a) Did you turn age 65 in the last 6 months?</w:t>
      </w:r>
    </w:p>
    <w:p>
      <w:pPr>
        <w:spacing w:before="0" w:after="0"/>
        <w:ind w:left="2280"/>
        <w:jc w:val="both"/>
      </w:pPr>
      <w:r>
        <w:rPr>
          <w:rFonts w:ascii="Times New Roman" w:hAnsi="Times New Roman"/>
          <w:b w:val="false"/>
          <w:i w:val="false"/>
          <w:color w:val="000000"/>
          <w:sz w:val="22"/>
        </w:rPr>
        <w:t>Yes____No____</w:t>
      </w:r>
    </w:p>
    <w:p>
      <w:pPr>
        <w:spacing w:before="0" w:after="0"/>
        <w:ind w:left="460"/>
        <w:jc w:val="both"/>
      </w:pPr>
      <w:r>
        <w:rPr>
          <w:rFonts w:ascii="Times New Roman" w:hAnsi="Times New Roman"/>
          <w:b w:val="false"/>
          <w:i w:val="false"/>
          <w:color w:val="000000"/>
          <w:sz w:val="22"/>
        </w:rPr>
        <w:t>(b) Did you enroll in Medicare Part B in the last 6 months?</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(c) If yes, what is the effective date? ____________________________</w:t>
      </w:r>
    </w:p>
    <w:p>
      <w:pPr>
        <w:spacing w:before="0" w:after="0"/>
        <w:ind w:left="120"/>
        <w:jc w:val="both"/>
      </w:pPr>
      <w:r>
        <w:rPr>
          <w:rFonts w:ascii="Times New Roman" w:hAnsi="Times New Roman"/>
          <w:b w:val="false"/>
          <w:i w:val="false"/>
          <w:color w:val="000000"/>
          <w:sz w:val="22"/>
        </w:rPr>
        <w:t>(2) Are you covered for medical assistance through the state Medicaid program?</w:t>
      </w:r>
    </w:p>
    <w:p>
      <w:pPr>
        <w:spacing w:before="0" w:after="0"/>
        <w:ind w:left="120"/>
        <w:jc w:val="both"/>
      </w:pPr>
      <w:r>
        <w:rPr>
          <w:rFonts w:ascii="Times New Roman" w:hAnsi="Times New Roman"/>
          <w:b w:val="false"/>
          <w:i w:val="false"/>
          <w:color w:val="000000"/>
          <w:sz w:val="22"/>
        </w:rPr>
        <w:t>(NOTE TO APPLICANT: If you are participating in a “Spend-Down Program” and have not met your “Share of Cost,” please answer NO to this question.)</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If yes,</w:t>
      </w:r>
    </w:p>
    <w:p>
      <w:pPr>
        <w:spacing w:before="0" w:after="0"/>
        <w:ind w:left="120"/>
        <w:jc w:val="both"/>
      </w:pPr>
      <w:r>
        <w:rPr>
          <w:rFonts w:ascii="Times New Roman" w:hAnsi="Times New Roman"/>
          <w:b w:val="false"/>
          <w:i w:val="false"/>
          <w:color w:val="000000"/>
          <w:sz w:val="22"/>
        </w:rPr>
        <w:t>(a) Will Medicaid pay your premiums for this Medicare supplement [policy or certificate]?</w:t>
      </w:r>
    </w:p>
    <w:p>
      <w:pPr>
        <w:spacing w:before="0" w:after="0"/>
        <w:ind w:left="2280"/>
        <w:jc w:val="both"/>
      </w:pPr>
      <w:r>
        <w:rPr>
          <w:rFonts w:ascii="Times New Roman" w:hAnsi="Times New Roman"/>
          <w:b w:val="false"/>
          <w:i w:val="false"/>
          <w:color w:val="000000"/>
          <w:sz w:val="22"/>
        </w:rPr>
        <w:t>Yes____No____</w:t>
      </w:r>
    </w:p>
    <w:p>
      <w:pPr>
        <w:spacing w:before="0" w:after="0"/>
        <w:ind w:left="460"/>
        <w:jc w:val="both"/>
      </w:pPr>
      <w:r>
        <w:rPr>
          <w:rFonts w:ascii="Times New Roman" w:hAnsi="Times New Roman"/>
          <w:b w:val="false"/>
          <w:i w:val="false"/>
          <w:color w:val="000000"/>
          <w:sz w:val="22"/>
        </w:rPr>
        <w:t>(b) Do you receive any benefits from Medicaid OTHER THAN payments toward your Medicare Part B premium?</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(3) (a) If you had coverage from any Medicare plan other than original Medicare within the past 63 days (for example, a Medicare Advantage plan, or a Medicare HMO or PPO), fill in your start and end dates below. If you are still covered under this plan, leave “END” blank.</w:t>
      </w:r>
    </w:p>
    <w:p>
      <w:pPr>
        <w:spacing w:before="0" w:after="0"/>
        <w:ind w:left="2280"/>
        <w:jc w:val="both"/>
      </w:pPr>
      <w:r>
        <w:rPr>
          <w:rFonts w:ascii="Times New Roman" w:hAnsi="Times New Roman"/>
          <w:b w:val="false"/>
          <w:i w:val="false"/>
          <w:color w:val="000000"/>
          <w:sz w:val="22"/>
        </w:rPr>
        <w:t>START __/__/__ END __/__/__</w:t>
      </w:r>
    </w:p>
    <w:p>
      <w:pPr>
        <w:spacing w:before="0" w:after="0"/>
        <w:ind w:left="460"/>
        <w:jc w:val="both"/>
      </w:pPr>
      <w:r>
        <w:rPr>
          <w:rFonts w:ascii="Times New Roman" w:hAnsi="Times New Roman"/>
          <w:b w:val="false"/>
          <w:i w:val="false"/>
          <w:color w:val="000000"/>
          <w:sz w:val="22"/>
        </w:rPr>
        <w:t>(b) If you are still covered under the Medicare plan, do you intend to replace your current coverage with this new Medicare supplement [policy or certificate]?</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(c) Was this your first time in this type of Medicare plan?</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(d) Did you drop a Medicare supplement policy or certificate to enroll in this plan?</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(4) (a) Do you have another Medicare supplement policy or certificate in force?</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(b) If so, with what company, and what plan do you have [optional for direct mailers]?</w:t>
      </w:r>
    </w:p>
    <w:p>
      <w:pPr>
        <w:spacing w:before="0" w:after="0"/>
        <w:ind w:left="800"/>
        <w:jc w:val="both"/>
      </w:pPr>
      <w:r>
        <w:rPr>
          <w:rFonts w:ascii="Times New Roman" w:hAnsi="Times New Roman"/>
          <w:b w:val="false"/>
          <w:i w:val="false"/>
          <w:color w:val="000000"/>
          <w:sz w:val="22"/>
        </w:rPr>
        <w:t>_________________________________________________________________________</w:t>
      </w:r>
    </w:p>
    <w:p>
      <w:pPr>
        <w:spacing w:before="0" w:after="0"/>
        <w:ind w:left="460"/>
        <w:jc w:val="both"/>
      </w:pPr>
      <w:r>
        <w:rPr>
          <w:rFonts w:ascii="Times New Roman" w:hAnsi="Times New Roman"/>
          <w:b w:val="false"/>
          <w:i w:val="false"/>
          <w:color w:val="000000"/>
          <w:sz w:val="22"/>
        </w:rPr>
        <w:t>(c) If so, do you intend to replace your current Medicare supplement policy or certificate with this [policy or certificate]?</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(5) Have you had coverage under any other health insurance within the past 63 days? (For example, an employer, union, or individual plan)</w:t>
      </w:r>
    </w:p>
    <w:p>
      <w:pPr>
        <w:spacing w:before="0" w:after="0"/>
        <w:ind w:left="2280"/>
        <w:jc w:val="both"/>
      </w:pPr>
      <w:r>
        <w:rPr>
          <w:rFonts w:ascii="Times New Roman" w:hAnsi="Times New Roman"/>
          <w:b w:val="false"/>
          <w:i w:val="false"/>
          <w:color w:val="000000"/>
          <w:sz w:val="22"/>
        </w:rPr>
        <w:t>Yes____No____</w:t>
      </w:r>
    </w:p>
    <w:p>
      <w:pPr>
        <w:spacing w:before="0" w:after="0"/>
        <w:ind w:left="120"/>
        <w:jc w:val="both"/>
      </w:pPr>
      <w:r>
        <w:rPr>
          <w:rFonts w:ascii="Times New Roman" w:hAnsi="Times New Roman"/>
          <w:b w:val="false"/>
          <w:i w:val="false"/>
          <w:color w:val="000000"/>
          <w:sz w:val="22"/>
        </w:rPr>
        <w:t>(a) If so, with what company and what kind of policy or certificate?</w:t>
      </w:r>
    </w:p>
    <w:p>
      <w:pPr>
        <w:spacing w:before="0" w:after="0"/>
        <w:ind w:left="800"/>
        <w:jc w:val="both"/>
      </w:pPr>
      <w:r>
        <w:rPr>
          <w:rFonts w:ascii="Times New Roman" w:hAnsi="Times New Roman"/>
          <w:b w:val="false"/>
          <w:i w:val="false"/>
          <w:color w:val="000000"/>
          <w:sz w:val="22"/>
        </w:rPr>
        <w:t>_________________________________________________________________________</w:t>
      </w:r>
    </w:p>
    <w:p>
      <w:pPr>
        <w:spacing w:before="0" w:after="0"/>
        <w:ind w:left="800"/>
        <w:jc w:val="both"/>
      </w:pPr>
      <w:r>
        <w:rPr>
          <w:rFonts w:ascii="Times New Roman" w:hAnsi="Times New Roman"/>
          <w:b w:val="false"/>
          <w:i w:val="false"/>
          <w:color w:val="000000"/>
          <w:sz w:val="22"/>
        </w:rPr>
        <w:t>_________________________________________________________________________</w:t>
      </w:r>
    </w:p>
    <w:p>
      <w:pPr>
        <w:spacing w:before="0" w:after="0"/>
        <w:ind w:left="800"/>
        <w:jc w:val="both"/>
      </w:pPr>
      <w:r>
        <w:rPr>
          <w:rFonts w:ascii="Times New Roman" w:hAnsi="Times New Roman"/>
          <w:b w:val="false"/>
          <w:i w:val="false"/>
          <w:color w:val="000000"/>
          <w:sz w:val="22"/>
        </w:rPr>
        <w:t>_________________________________________________________________________</w:t>
      </w:r>
    </w:p>
    <w:p>
      <w:pPr>
        <w:spacing w:before="0" w:after="0"/>
        <w:ind w:left="800"/>
        <w:jc w:val="both"/>
      </w:pPr>
      <w:r>
        <w:rPr>
          <w:rFonts w:ascii="Times New Roman" w:hAnsi="Times New Roman"/>
          <w:b w:val="false"/>
          <w:i w:val="false"/>
          <w:color w:val="000000"/>
          <w:sz w:val="22"/>
        </w:rPr>
        <w:t>_________________________________________________________________________</w:t>
      </w:r>
    </w:p>
    <w:p>
      <w:pPr>
        <w:spacing w:before="0" w:after="0"/>
        <w:ind w:left="120"/>
        <w:jc w:val="both"/>
      </w:pPr>
      <w:r>
        <w:rPr>
          <w:rFonts w:ascii="Times New Roman" w:hAnsi="Times New Roman"/>
          <w:b w:val="false"/>
          <w:i w:val="false"/>
          <w:color w:val="000000"/>
          <w:sz w:val="22"/>
        </w:rPr>
        <w:t>(b) What are your dates of coverage under the other policy or certificate?</w:t>
      </w:r>
    </w:p>
    <w:p>
      <w:pPr>
        <w:spacing w:before="0" w:after="0"/>
        <w:ind w:left="2280"/>
        <w:jc w:val="both"/>
      </w:pPr>
      <w:r>
        <w:rPr>
          <w:rFonts w:ascii="Times New Roman" w:hAnsi="Times New Roman"/>
          <w:b w:val="false"/>
          <w:i w:val="false"/>
          <w:color w:val="000000"/>
          <w:sz w:val="22"/>
        </w:rPr>
        <w:t>START __/__/__ END __/__/__</w:t>
      </w:r>
    </w:p>
    <w:p>
      <w:pPr>
        <w:spacing w:before="0" w:after="0"/>
        <w:ind w:left="120"/>
        <w:jc w:val="both"/>
      </w:pPr>
      <w:r>
        <w:rPr>
          <w:rFonts w:ascii="Times New Roman" w:hAnsi="Times New Roman"/>
          <w:b w:val="false"/>
          <w:i w:val="false"/>
          <w:color w:val="000000"/>
          <w:sz w:val="22"/>
        </w:rPr>
        <w:t>(If you are still covered under the other policy or certificate, leave “END” blank.)</w:t>
      </w:r>
    </w:p>
    <w:p>
      <w:pPr>
        <w:spacing w:before="0" w:after="0"/>
        <w:ind w:left="120"/>
        <w:jc w:val="center"/>
      </w:pPr>
      <w:r>
        <w:rPr>
          <w:rFonts w:ascii="Times New Roman" w:hAnsi="Times New Roman"/>
          <w:b w:val="false"/>
          <w:i w:val="false"/>
          <w:color w:val="000000"/>
          <w:sz w:val="22"/>
        </w:rPr>
        <w:t>APPENDIX D</w:t>
      </w:r>
    </w:p>
    <w:p>
      <w:pPr>
        <w:spacing w:before="0" w:after="0"/>
        <w:ind w:left="120"/>
        <w:jc w:val="center"/>
      </w:pPr>
      <w:r>
        <w:rPr>
          <w:rFonts w:ascii="Times New Roman" w:hAnsi="Times New Roman"/>
          <w:b/>
          <w:i w:val="false"/>
          <w:color w:val="000000"/>
          <w:sz w:val="22"/>
        </w:rPr>
        <w:t>NOTICE TO APPLICANT REGARDING REPLACEMENT OF MEDICARE SUPPLEMENT INSURANCE OR MEDICARE ADVANTAGE</w:t>
      </w:r>
    </w:p>
    <w:p>
      <w:pPr>
        <w:spacing w:before="0" w:after="0"/>
        <w:ind w:left="120"/>
        <w:jc w:val="center"/>
      </w:pPr>
      <w:r>
        <w:rPr>
          <w:rFonts w:ascii="Times New Roman" w:hAnsi="Times New Roman"/>
          <w:b w:val="false"/>
          <w:i w:val="false"/>
          <w:color w:val="000000"/>
          <w:sz w:val="22"/>
        </w:rPr>
        <w:t>[Insurance company’s name and address]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SAVE THIS NOTICE! IT MAY BE IMPORTANT TO YOU IN THE FUTURE.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According to [your application] [information you have furnished], you intend to terminate an existing Medicare supplement policy or certificate or Medicare Advantage policy or certificate and replace it with a policy to be issued by [Company Name] Insurance Company. Your new policy will provide thirty (30) days within which you may decide without cost whether you desire to keep the policy. You should review this new coverage carefully. Compare it with all accident and sickness coverage you now have. If, after due consideration, you find that purchase of this Medicare supplement [policy or certificate] is a wise decision, you should terminate your present Medicare supplement policy or certificate or Medicare Advantage policy or certificate. You should evaluate the need for other accident and sickness coverage you have that may duplicate this policy.</w:t>
      </w:r>
    </w:p>
    <w:p>
      <w:pPr>
        <w:spacing w:before="0" w:after="0"/>
        <w:ind w:left="120"/>
        <w:jc w:val="both"/>
      </w:pPr>
      <w:r>
        <w:rPr>
          <w:rFonts w:ascii="Times New Roman" w:hAnsi="Times New Roman"/>
          <w:b w:val="false"/>
          <w:i w:val="false"/>
          <w:color w:val="000000"/>
          <w:sz w:val="22"/>
        </w:rPr>
        <w:t>STATEMENT TO APPLICANT BY ISSUER, PRODUCER [BROKER OR OTHER REPRESENTATIVE]:</w:t>
      </w:r>
    </w:p>
    <w:p>
      <w:pPr>
        <w:spacing w:before="0" w:after="0"/>
        <w:ind w:left="120"/>
        <w:jc w:val="both"/>
      </w:pPr>
      <w:r>
        <w:rPr>
          <w:rFonts w:ascii="Times New Roman" w:hAnsi="Times New Roman"/>
          <w:b w:val="false"/>
          <w:i w:val="false"/>
          <w:color w:val="000000"/>
          <w:sz w:val="22"/>
        </w:rPr>
        <w:t>I have reviewed your current medical or health insurance coverage. To the best of my knowledge, this Medicare supplement policy or certificate will not duplicate your existing Medicare supplement policy or certificate or, if applicable, Medicare Advantage policy or certificate because you intend to terminate your existing Medicare supplement policy or certificate or Medicare Advantage policy or certificate. The replacement [policy or certificate] is being purchased for the following reason (check one):</w:t>
      </w:r>
    </w:p>
    <w:p>
      <w:pPr>
        <w:spacing w:before="0" w:after="0"/>
        <w:ind w:left="120"/>
        <w:jc w:val="both"/>
      </w:pPr>
      <w:r>
        <w:rPr>
          <w:rFonts w:ascii="Times New Roman" w:hAnsi="Times New Roman"/>
          <w:b w:val="false"/>
          <w:i w:val="false"/>
          <w:color w:val="000000"/>
          <w:sz w:val="22"/>
        </w:rPr>
        <w:t>____ Additional benefits.</w:t>
      </w:r>
    </w:p>
    <w:p>
      <w:pPr>
        <w:spacing w:before="0" w:after="0"/>
        <w:ind w:left="120"/>
        <w:jc w:val="both"/>
      </w:pPr>
      <w:r>
        <w:rPr>
          <w:rFonts w:ascii="Times New Roman" w:hAnsi="Times New Roman"/>
          <w:b w:val="false"/>
          <w:i w:val="false"/>
          <w:color w:val="000000"/>
          <w:sz w:val="22"/>
        </w:rPr>
        <w:t>____ No change in benefits, but lower premiums.</w:t>
      </w:r>
    </w:p>
    <w:p>
      <w:pPr>
        <w:spacing w:before="0" w:after="0"/>
        <w:ind w:left="120"/>
        <w:jc w:val="both"/>
      </w:pPr>
      <w:r>
        <w:rPr>
          <w:rFonts w:ascii="Times New Roman" w:hAnsi="Times New Roman"/>
          <w:b w:val="false"/>
          <w:i w:val="false"/>
          <w:color w:val="000000"/>
          <w:sz w:val="22"/>
        </w:rPr>
        <w:t>____ Fewer benefits and lower premiums.</w:t>
      </w:r>
    </w:p>
    <w:p>
      <w:pPr>
        <w:spacing w:before="0" w:after="0"/>
        <w:ind w:left="120"/>
        <w:jc w:val="both"/>
      </w:pPr>
      <w:r>
        <w:rPr>
          <w:rFonts w:ascii="Times New Roman" w:hAnsi="Times New Roman"/>
          <w:b w:val="false"/>
          <w:i w:val="false"/>
          <w:color w:val="000000"/>
          <w:sz w:val="22"/>
        </w:rPr>
        <w:t>____ My plan has outpatient prescription drug coverage and I am enrolling in Part D.</w:t>
      </w:r>
    </w:p>
    <w:p>
      <w:pPr>
        <w:spacing w:before="0" w:after="0"/>
        <w:ind w:left="120"/>
        <w:jc w:val="both"/>
      </w:pPr>
      <w:r>
        <w:rPr>
          <w:rFonts w:ascii="Times New Roman" w:hAnsi="Times New Roman"/>
          <w:b w:val="false"/>
          <w:i w:val="false"/>
          <w:color w:val="000000"/>
          <w:sz w:val="22"/>
        </w:rPr>
        <w:t>____ Disenrollment from a Medicare Advantage policy or certificate. Please explain reason for disenrollment. [optional only for direct mailers]</w:t>
      </w:r>
    </w:p>
    <w:p>
      <w:pPr>
        <w:spacing w:before="0" w:after="0"/>
        <w:ind w:left="120"/>
        <w:jc w:val="both"/>
      </w:pPr>
      <w:r>
        <w:rPr>
          <w:rFonts w:ascii="Times New Roman" w:hAnsi="Times New Roman"/>
          <w:b w:val="false"/>
          <w:i w:val="false"/>
          <w:color w:val="000000"/>
          <w:sz w:val="22"/>
        </w:rPr>
        <w:t>____ Other. (Please specify.)________________________________________________________</w:t>
      </w:r>
    </w:p>
    <w:p>
      <w:pPr>
        <w:spacing w:before="0" w:after="0"/>
        <w:ind w:left="120"/>
        <w:jc w:val="left"/>
      </w:pPr>
      <w:r>
        <w:rPr>
          <w:rFonts w:ascii="Times New Roman" w:hAnsi="Times New Roman"/>
          <w:b w:val="false"/>
          <w:i w:val="false"/>
          <w:color w:val="000000"/>
          <w:sz w:val="22"/>
        </w:rPr>
        <w:t>     1.   </w:t>
      </w:r>
      <w:r>
        <w:rPr>
          <w:rFonts w:ascii="Times New Roman" w:hAnsi="Times New Roman"/>
          <w:b/>
          <w:i w:val="false"/>
          <w:color w:val="000000"/>
          <w:sz w:val="22"/>
        </w:rPr>
        <w:t>Note:</w:t>
      </w:r>
      <w:r>
        <w:rPr>
          <w:rFonts w:ascii="Times New Roman" w:hAnsi="Times New Roman"/>
          <w:b w:val="false"/>
          <w:i w:val="false"/>
          <w:color w:val="000000"/>
          <w:sz w:val="22"/>
        </w:rPr>
        <w:t xml:space="preserve"> If the issuer of the Medicare supplement policy or certificate being applied for does not impose, or is otherwise prohibited from imposing, preexisting condition limitations, please skip to statement 2 below. Health conditions which you may presently have (preexisting conditions) may not be immediately or fully covered under the new policy. This could result in denial or delay of a claim for benefits under the new [policy or certificate], whereas a similar claim might have been payable under your present policy or certificate.</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State law provides that your replacement policy or certificate may not contain new preexisting conditions, waiting periods, elimination periods or probationary periods. The insurance company will waive any time periods applicable to preexisting conditions, waiting periods, elimination periods or probationary periods in the new policy or certificate (or coverage) for similar benefits to the extent such time was spent (depleted) under the original policy or certificate.</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If you still wish to terminate your present policy or certificate and replace it with new coverage, be certain to truthfully and completely answer all questions on the application concerning your medical and health history. Failure to include all material medical information on an application may provide a basis for the company to deny any future claims and to refund your premium as though your policy or certificate had never been in force. After the application has been completed and before you sign it, review it carefully to be certain that all information has been properly recorded. [If the policy or certificate is guaranteed issue, this paragraph need not appear.]</w:t>
      </w:r>
    </w:p>
    <w:p>
      <w:pPr>
        <w:pageBreakBefore/>
        <w:spacing w:before="0" w:after="0"/>
        <w:ind w:left="120"/>
        <w:jc w:val="left"/>
      </w:pPr>
    </w:p>
    <w:p>
      <w:pPr>
        <w:spacing w:before="0" w:after="0"/>
        <w:ind w:left="120"/>
        <w:jc w:val="both"/>
      </w:pPr>
      <w:r>
        <w:rPr>
          <w:rFonts w:ascii="Times New Roman" w:hAnsi="Times New Roman"/>
          <w:b w:val="false"/>
          <w:i w:val="false"/>
          <w:color w:val="000000"/>
          <w:sz w:val="22"/>
        </w:rPr>
        <w:t>Do not cancel your present policy or certificate until you have received your new [policy or certificate] and are sure that you want to keep it.</w:t>
      </w:r>
    </w:p>
    <w:p>
      <w:pPr>
        <w:spacing w:before="0" w:after="0"/>
        <w:ind w:left="120"/>
        <w:jc w:val="both"/>
      </w:pPr>
      <w:r>
        <w:rPr>
          <w:rFonts w:ascii="Times New Roman" w:hAnsi="Times New Roman"/>
          <w:b w:val="false"/>
          <w:i w:val="false"/>
          <w:color w:val="000000"/>
          <w:sz w:val="22"/>
        </w:rPr>
        <w:t>____________________________________________________________________</w:t>
      </w:r>
    </w:p>
    <w:p>
      <w:pPr>
        <w:spacing w:before="0" w:after="0"/>
        <w:ind w:left="120"/>
        <w:jc w:val="both"/>
      </w:pPr>
      <w:r>
        <w:rPr>
          <w:rFonts w:ascii="Times New Roman" w:hAnsi="Times New Roman"/>
          <w:b w:val="false"/>
          <w:i w:val="false"/>
          <w:color w:val="000000"/>
          <w:sz w:val="22"/>
        </w:rPr>
        <w:t>(Signature of Producer, Broker or Other Representative)*</w:t>
      </w:r>
    </w:p>
    <w:p>
      <w:pPr>
        <w:spacing w:before="0" w:after="0"/>
        <w:ind w:left="120"/>
        <w:jc w:val="both"/>
      </w:pPr>
      <w:r>
        <w:rPr>
          <w:rFonts w:ascii="Times New Roman" w:hAnsi="Times New Roman"/>
          <w:b w:val="false"/>
          <w:i w:val="false"/>
          <w:color w:val="000000"/>
          <w:sz w:val="22"/>
        </w:rPr>
        <w:t>[Typed Name and Address of Issuer, and of Producer or Broker]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____________________________________________________________________</w:t>
      </w:r>
    </w:p>
    <w:p>
      <w:pPr>
        <w:spacing w:before="0" w:after="0"/>
        <w:ind w:left="120"/>
        <w:jc w:val="both"/>
      </w:pPr>
      <w:r>
        <w:rPr>
          <w:rFonts w:ascii="Times New Roman" w:hAnsi="Times New Roman"/>
          <w:b w:val="false"/>
          <w:i w:val="false"/>
          <w:color w:val="000000"/>
          <w:sz w:val="22"/>
        </w:rPr>
        <w:t>(Applicant’s Signature)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______________________________</w:t>
      </w:r>
    </w:p>
    <w:p>
      <w:pPr>
        <w:spacing w:before="0" w:after="0"/>
        <w:ind w:left="120"/>
        <w:jc w:val="both"/>
      </w:pPr>
      <w:r>
        <w:rPr>
          <w:rFonts w:ascii="Times New Roman" w:hAnsi="Times New Roman"/>
          <w:b w:val="false"/>
          <w:i w:val="false"/>
          <w:color w:val="000000"/>
          <w:sz w:val="22"/>
        </w:rPr>
        <w:t>(Date)</w:t>
      </w:r>
    </w:p>
    <w:p>
      <w:pPr>
        <w:spacing w:before="0" w:after="0"/>
        <w:ind w:left="120"/>
        <w:jc w:val="both"/>
      </w:pPr>
      <w:r>
        <w:rPr>
          <w:rFonts w:ascii="Times New Roman" w:hAnsi="Times New Roman"/>
          <w:b w:val="false"/>
          <w:i w:val="false"/>
          <w:color w:val="000000"/>
          <w:sz w:val="22"/>
        </w:rPr>
        <w:t>*Signature not required for direct response sales.</w:t>
      </w:r>
    </w:p>
    <w:p>
      <w:pPr>
        <w:spacing w:before="0" w:after="0"/>
        <w:ind w:left="120"/>
        <w:jc w:val="center"/>
      </w:pPr>
      <w:r>
        <w:rPr>
          <w:rFonts w:ascii="Times New Roman" w:hAnsi="Times New Roman"/>
          <w:b w:val="false"/>
          <w:i w:val="false"/>
          <w:color w:val="000000"/>
          <w:sz w:val="22"/>
        </w:rPr>
        <w:t>APPENDIX E</w:t>
      </w:r>
    </w:p>
    <w:p>
      <w:pPr>
        <w:spacing w:before="0" w:after="0"/>
        <w:ind w:left="120"/>
        <w:jc w:val="center"/>
      </w:pPr>
      <w:r>
        <w:rPr>
          <w:rFonts w:ascii="Times New Roman" w:hAnsi="Times New Roman"/>
          <w:b w:val="false"/>
          <w:i w:val="false"/>
          <w:color w:val="000000"/>
          <w:sz w:val="22"/>
        </w:rPr>
        <w:t>OUTLINE OF COVERAGE: BENEFIT CHARTS</w:t>
      </w:r>
    </w:p>
    <w:p>
      <w:pPr>
        <w:spacing w:before="0" w:after="0"/>
        <w:ind w:left="120"/>
        <w:jc w:val="left"/>
      </w:pPr>
      <w:r>
        <w:rPr>
          <w:rFonts w:ascii="Times New Roman" w:hAnsi="Times New Roman"/>
          <w:b/>
          <w:i w:val="false"/>
          <w:color w:val="000000"/>
          <w:sz w:val="22"/>
        </w:rPr>
        <w:t>[Any amount in brackets in this Appendix E shall be changed to coincide with any change in amount made by the Secretary of the U.S. Department of Health and Human Services.]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Benefit Chart of Medicare Supplement Plans Sold for Effective Dates On or After June 1, 2010</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chart shows the benefits included in each of the standardized Medicare Supplement plans. Every company must make Plan “A” available. Some plans may not be available in your state.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Basic Benefits:</w:t>
      </w:r>
    </w:p>
    <w:p>
      <w:pPr>
        <w:spacing w:before="0" w:after="0"/>
        <w:ind w:left="120"/>
        <w:jc w:val="left"/>
      </w:pPr>
      <w:r>
        <w:rPr>
          <w:rFonts w:ascii="Times New Roman" w:hAnsi="Times New Roman"/>
          <w:b w:val="false"/>
          <w:i w:val="false"/>
          <w:color w:val="000000"/>
          <w:sz w:val="22"/>
        </w:rPr>
        <w:t>     ●   </w:t>
      </w:r>
      <w:r>
        <w:rPr>
          <w:rFonts w:ascii="Times New Roman" w:hAnsi="Times New Roman"/>
          <w:b/>
          <w:i w:val="false"/>
          <w:color w:val="000000"/>
          <w:sz w:val="22"/>
        </w:rPr>
        <w:t>Hospitalization</w:t>
      </w:r>
      <w:r>
        <w:rPr>
          <w:rFonts w:ascii="Times New Roman" w:hAnsi="Times New Roman"/>
          <w:b w:val="false"/>
          <w:i w:val="false"/>
          <w:color w:val="000000"/>
          <w:sz w:val="22"/>
        </w:rPr>
        <w:t xml:space="preserve"> – Part A coinsurance plus coverage for 365 additional days after Medicare benefits end.</w:t>
      </w:r>
    </w:p>
    <w:p>
      <w:pPr>
        <w:spacing w:before="0" w:after="0"/>
        <w:ind w:left="120"/>
        <w:jc w:val="left"/>
      </w:pPr>
      <w:r>
        <w:rPr>
          <w:rFonts w:ascii="Times New Roman" w:hAnsi="Times New Roman"/>
          <w:b w:val="false"/>
          <w:i w:val="false"/>
          <w:color w:val="000000"/>
          <w:sz w:val="22"/>
        </w:rPr>
        <w:t>     ●   </w:t>
      </w:r>
      <w:r>
        <w:rPr>
          <w:rFonts w:ascii="Times New Roman" w:hAnsi="Times New Roman"/>
          <w:b/>
          <w:i w:val="false"/>
          <w:color w:val="000000"/>
          <w:sz w:val="22"/>
        </w:rPr>
        <w:t>Medical Expenses</w:t>
      </w:r>
      <w:r>
        <w:rPr>
          <w:rFonts w:ascii="Times New Roman" w:hAnsi="Times New Roman"/>
          <w:b w:val="false"/>
          <w:i w:val="false"/>
          <w:color w:val="000000"/>
          <w:sz w:val="22"/>
        </w:rPr>
        <w:t xml:space="preserve"> – Part B coinsurance (generally 20% of Medicare-approved expenses) or copayments for hospital outpatient services. Plans K, L and N require insureds to pay a portion of Part B coinsurance or copayments.</w:t>
      </w:r>
    </w:p>
    <w:p>
      <w:pPr>
        <w:spacing w:before="0" w:after="0"/>
        <w:ind w:left="120"/>
        <w:jc w:val="left"/>
      </w:pPr>
      <w:r>
        <w:rPr>
          <w:rFonts w:ascii="Times New Roman" w:hAnsi="Times New Roman"/>
          <w:b w:val="false"/>
          <w:i w:val="false"/>
          <w:color w:val="000000"/>
          <w:sz w:val="22"/>
        </w:rPr>
        <w:t>     ●   </w:t>
      </w:r>
      <w:r>
        <w:rPr>
          <w:rFonts w:ascii="Times New Roman" w:hAnsi="Times New Roman"/>
          <w:b/>
          <w:i w:val="false"/>
          <w:color w:val="000000"/>
          <w:sz w:val="22"/>
        </w:rPr>
        <w:t>Blood</w:t>
      </w:r>
      <w:r>
        <w:rPr>
          <w:rFonts w:ascii="Times New Roman" w:hAnsi="Times New Roman"/>
          <w:b w:val="false"/>
          <w:i w:val="false"/>
          <w:color w:val="000000"/>
          <w:sz w:val="22"/>
        </w:rPr>
        <w:t xml:space="preserve"> – First three pints of blood each year.</w:t>
      </w:r>
    </w:p>
    <w:p>
      <w:pPr>
        <w:spacing w:before="0" w:after="0"/>
        <w:ind w:left="120"/>
        <w:jc w:val="left"/>
      </w:pPr>
      <w:r>
        <w:rPr>
          <w:rFonts w:ascii="Times New Roman" w:hAnsi="Times New Roman"/>
          <w:b w:val="false"/>
          <w:i w:val="false"/>
          <w:color w:val="000000"/>
          <w:sz w:val="22"/>
        </w:rPr>
        <w:t>     ●   </w:t>
      </w:r>
      <w:r>
        <w:rPr>
          <w:rFonts w:ascii="Times New Roman" w:hAnsi="Times New Roman"/>
          <w:b/>
          <w:i w:val="false"/>
          <w:color w:val="000000"/>
          <w:sz w:val="22"/>
        </w:rPr>
        <w:t>Hospice</w:t>
      </w:r>
      <w:r>
        <w:rPr>
          <w:rFonts w:ascii="Times New Roman" w:hAnsi="Times New Roman"/>
          <w:b w:val="false"/>
          <w:i w:val="false"/>
          <w:color w:val="000000"/>
          <w:sz w:val="22"/>
        </w:rPr>
        <w:t xml:space="preserve"> – Part A coinsurance.</w:t>
      </w:r>
    </w:p>
    <w:tbl>
      <w:tblPr>
        <w:tblW w:w="5000" w:type="pct"/>
        <w:tblCellSpacing w:w="0" w:type="auto"/>
        <w:tblBorders>
          <w:top w:val="none"/>
          <w:left w:val="none"/>
          <w:bottom w:val="none"/>
          <w:right w:val="none"/>
          <w:insideH w:val="none"/>
          <w:insideV w:val="none"/>
        </w:tblBorders>
        <w:tblLayout w:type="fixed"/>
      </w:tblPr>
      <w:tblGrid>
        <w:gridCol w:w="20"/>
        <w:gridCol w:w="1095"/>
        <w:gridCol w:w="1094"/>
        <w:gridCol w:w="1094"/>
        <w:gridCol w:w="1094"/>
        <w:gridCol w:w="730"/>
        <w:gridCol w:w="730"/>
        <w:gridCol w:w="1094"/>
        <w:gridCol w:w="96"/>
        <w:gridCol w:w="1056"/>
        <w:gridCol w:w="1056"/>
        <w:gridCol w:w="1094"/>
        <w:gridCol w:w="1094"/>
        <w:gridCol w:w="19"/>
      </w:tblGrid>
      <w:tr>
        <w:trPr>
          <w:trHeight w:val="195" w:hRule="atLeast"/>
        </w:trPr>
        <w:tc>
          <w:tcPr>
            <w:tcW w:w="2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730"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96" w:type="dxa"/>
            <w:tcBorders/>
            <w:tcMar>
              <w:top w:w="30" w:type="dxa"/>
              <w:left w:w="30" w:type="dxa"/>
              <w:bottom w:w="15" w:type="dxa"/>
              <w:right w:w="30" w:type="dxa"/>
            </w:tcMar>
            <w:vAlign w:val="top"/>
          </w:tcPr>
          <w:p/>
        </w:tc>
        <w:tc>
          <w:tcPr>
            <w:tcW w:w="10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56"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r>
        <w:trPr>
          <w:trHeight w:val="210" w:hRule="atLeast"/>
        </w:trPr>
        <w:tc>
          <w:tcPr>
            <w:tcW w:w="20"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A</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B</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C</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D</w:t>
            </w:r>
          </w:p>
        </w:tc>
        <w:tc>
          <w:tcPr>
            <w:tcW w:w="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F</w:t>
            </w:r>
          </w:p>
        </w:tc>
        <w:tc>
          <w:tcPr>
            <w:tcW w:w="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F*</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G</w:t>
            </w:r>
          </w:p>
        </w:tc>
        <w:tc>
          <w:tcPr>
            <w:tcW w:w="96" w:type="dxa"/>
            <w:tcBorders>
              <w:right w:val="single" w:color="000000" w:sz="8"/>
            </w:tcBorders>
            <w:tcMar>
              <w:top w:w="30" w:type="dxa"/>
              <w:left w:w="30" w:type="dxa"/>
              <w:bottom w:w="15" w:type="dxa"/>
              <w:right w:w="30" w:type="dxa"/>
            </w:tcMar>
            <w:vAlign w:val="top"/>
          </w:tcP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K</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L</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M</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N</w:t>
            </w:r>
          </w:p>
        </w:tc>
        <w:tc>
          <w:tcPr>
            <w:tcW w:w="19"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4"/>
              </w:rPr>
              <w:t> </w:t>
            </w:r>
          </w:p>
        </w:tc>
      </w:tr>
      <w:tr>
        <w:trPr>
          <w:trHeight w:val="2085" w:hRule="atLeast"/>
        </w:trPr>
        <w:tc>
          <w:tcPr>
            <w:tcW w:w="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w:t>
            </w:r>
          </w:p>
        </w:tc>
        <w:tc>
          <w:tcPr>
            <w:tcW w:w="96" w:type="dxa"/>
            <w:tcBorders>
              <w:right w:val="single" w:color="000000" w:sz="8"/>
            </w:tcBorders>
            <w:tcMar>
              <w:top w:w="30" w:type="dxa"/>
              <w:left w:w="30" w:type="dxa"/>
              <w:bottom w:w="15" w:type="dxa"/>
              <w:right w:w="30" w:type="dxa"/>
            </w:tcMar>
            <w:vAlign w:val="top"/>
          </w:tcPr>
          <w:p>
            <w:pPr>
              <w:spacing w:before="0" w:after="0"/>
              <w:ind w:left="0"/>
              <w:jc w:val="left"/>
            </w:pPr>
            <w:r>
              <w:br/>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Hospitali-</w:t>
            </w:r>
            <w:r>
              <w:br/>
            </w:r>
            <w:r>
              <w:rPr>
                <w:rFonts w:ascii="Times New Roman" w:hAnsi="Times New Roman"/>
                <w:b w:val="false"/>
                <w:i w:val="false"/>
                <w:color w:val="000000"/>
                <w:sz w:val="14"/>
              </w:rPr>
              <w:t>zation and preventive care paid at 100%; other basic benefits paid at 50%</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Hospitali-</w:t>
            </w:r>
            <w:r>
              <w:br/>
            </w:r>
            <w:r>
              <w:rPr>
                <w:rFonts w:ascii="Times New Roman" w:hAnsi="Times New Roman"/>
                <w:b w:val="false"/>
                <w:i w:val="false"/>
                <w:color w:val="000000"/>
                <w:sz w:val="14"/>
              </w:rPr>
              <w:t>zation and preventive care paid at 100%; other basic benefits paid at 75%</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Basic, including 100% Part B coinsurance, except up to $20 copayment for office visit, and up to $50 copayment for ER</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825" w:hRule="atLeast"/>
        </w:trPr>
        <w:tc>
          <w:tcPr>
            <w:tcW w:w="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Skilled Nursing Facility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Skilled Nursing Facility Coinsurance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Skilled Nursing Facility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Skilled Nursing Facility Coinsurance</w:t>
            </w:r>
          </w:p>
        </w:tc>
        <w:tc>
          <w:tcPr>
            <w:tcW w:w="96" w:type="dxa"/>
            <w:tcBorders>
              <w:right w:val="single" w:color="000000" w:sz="8"/>
            </w:tcBorders>
            <w:tcMar>
              <w:top w:w="30" w:type="dxa"/>
              <w:left w:w="30" w:type="dxa"/>
              <w:bottom w:w="15" w:type="dxa"/>
              <w:right w:w="30" w:type="dxa"/>
            </w:tcMar>
            <w:vAlign w:val="top"/>
          </w:tcP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 Skilled Nursing Facility Coinsurance</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 Skilled Nursing Facility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Skilled Nursing Facility Coinsurance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Skilled Nursing Facility Coinsurance</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A Deductible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A Deductible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A Deductible</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A Deductible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A Deductible</w:t>
            </w:r>
          </w:p>
        </w:tc>
        <w:tc>
          <w:tcPr>
            <w:tcW w:w="96" w:type="dxa"/>
            <w:tcBorders>
              <w:right w:val="single" w:color="000000" w:sz="8"/>
            </w:tcBorders>
            <w:tcMar>
              <w:top w:w="30" w:type="dxa"/>
              <w:left w:w="30" w:type="dxa"/>
              <w:bottom w:w="15" w:type="dxa"/>
              <w:right w:w="30" w:type="dxa"/>
            </w:tcMar>
            <w:vAlign w:val="top"/>
          </w:tcP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 Part A Deductible</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75% Part A Deductible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50% Part A Deductible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A Deductible</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360" w:hRule="atLeast"/>
        </w:trPr>
        <w:tc>
          <w:tcPr>
            <w:tcW w:w="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B Deductible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Part B Deductible</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6" w:type="dxa"/>
            <w:tcBorders>
              <w:right w:val="single" w:color="000000" w:sz="8"/>
            </w:tcBorders>
            <w:tcMar>
              <w:top w:w="30" w:type="dxa"/>
              <w:left w:w="30" w:type="dxa"/>
              <w:bottom w:w="15" w:type="dxa"/>
              <w:right w:w="30" w:type="dxa"/>
            </w:tcMar>
            <w:vAlign w:val="top"/>
          </w:tcP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525" w:hRule="atLeast"/>
        </w:trPr>
        <w:tc>
          <w:tcPr>
            <w:tcW w:w="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Part B</w:t>
            </w:r>
          </w:p>
          <w:p>
            <w:pPr>
              <w:spacing w:before="0" w:after="0"/>
              <w:ind w:left="160"/>
              <w:jc w:val="left"/>
            </w:pPr>
            <w:r>
              <w:rPr>
                <w:rFonts w:ascii="Times New Roman" w:hAnsi="Times New Roman"/>
                <w:b w:val="false"/>
                <w:i w:val="false"/>
                <w:color w:val="000000"/>
                <w:sz w:val="14"/>
              </w:rPr>
              <w:t>Excess (100%)</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4"/>
              </w:rPr>
              <w:t>Part B</w:t>
            </w:r>
          </w:p>
          <w:p>
            <w:pPr>
              <w:spacing w:before="0" w:after="0"/>
              <w:ind w:left="160"/>
              <w:jc w:val="left"/>
            </w:pPr>
            <w:r>
              <w:rPr>
                <w:rFonts w:ascii="Times New Roman" w:hAnsi="Times New Roman"/>
                <w:b w:val="false"/>
                <w:i w:val="false"/>
                <w:color w:val="000000"/>
                <w:sz w:val="14"/>
              </w:rPr>
              <w:t>Excess</w:t>
            </w:r>
          </w:p>
          <w:p>
            <w:pPr>
              <w:spacing w:before="0" w:after="0"/>
              <w:ind w:left="160"/>
              <w:jc w:val="left"/>
            </w:pPr>
            <w:r>
              <w:rPr>
                <w:rFonts w:ascii="Times New Roman" w:hAnsi="Times New Roman"/>
                <w:b w:val="false"/>
                <w:i w:val="false"/>
                <w:color w:val="000000"/>
                <w:sz w:val="14"/>
              </w:rPr>
              <w:t>(100%)</w:t>
            </w:r>
          </w:p>
        </w:tc>
        <w:tc>
          <w:tcPr>
            <w:tcW w:w="96" w:type="dxa"/>
            <w:tcBorders>
              <w:right w:val="single" w:color="000000" w:sz="8"/>
            </w:tcBorders>
            <w:tcMar>
              <w:top w:w="30" w:type="dxa"/>
              <w:left w:w="30" w:type="dxa"/>
              <w:bottom w:w="15" w:type="dxa"/>
              <w:right w:w="30" w:type="dxa"/>
            </w:tcMar>
            <w:vAlign w:val="top"/>
          </w:tcP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675" w:hRule="atLeast"/>
        </w:trPr>
        <w:tc>
          <w:tcPr>
            <w:tcW w:w="2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Foreign Travel Emergency</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Foreign Travel Emergency</w:t>
            </w:r>
          </w:p>
        </w:tc>
        <w:tc>
          <w:tcPr>
            <w:tcW w:w="0" w:type="auto"/>
            <w:gridSpan w:val="2"/>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Foreign Travel Emergency</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Foreign Travel Emer-</w:t>
            </w:r>
            <w:r>
              <w:br/>
            </w:r>
            <w:r>
              <w:rPr>
                <w:rFonts w:ascii="Times New Roman" w:hAnsi="Times New Roman"/>
                <w:b w:val="false"/>
                <w:i w:val="false"/>
                <w:color w:val="000000"/>
                <w:sz w:val="14"/>
              </w:rPr>
              <w:t>gency</w:t>
            </w:r>
          </w:p>
        </w:tc>
        <w:tc>
          <w:tcPr>
            <w:tcW w:w="96" w:type="dxa"/>
            <w:tcBorders>
              <w:right w:val="single" w:color="000000" w:sz="8"/>
            </w:tcBorders>
            <w:tcMar>
              <w:top w:w="30" w:type="dxa"/>
              <w:left w:w="30" w:type="dxa"/>
              <w:bottom w:w="15" w:type="dxa"/>
              <w:right w:w="30" w:type="dxa"/>
            </w:tcMar>
            <w:vAlign w:val="top"/>
          </w:tcP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Foreign Travel Emergency</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Foreign Travel Emergency</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305" w:hRule="atLeast"/>
        </w:trPr>
        <w:tc>
          <w:tcPr>
            <w:tcW w:w="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0" w:type="auto"/>
            <w:gridSpan w:val="7"/>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6" w:type="dxa"/>
            <w:tcBorders>
              <w:right w:val="single" w:color="000000" w:sz="8"/>
            </w:tcBorders>
            <w:tcMar>
              <w:top w:w="30" w:type="dxa"/>
              <w:left w:w="30" w:type="dxa"/>
              <w:bottom w:w="15" w:type="dxa"/>
              <w:right w:w="30" w:type="dxa"/>
            </w:tcMar>
            <w:vAlign w:val="top"/>
          </w:tcP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Out-of-</w:t>
            </w:r>
            <w:r>
              <w:br/>
            </w:r>
            <w:r>
              <w:rPr>
                <w:rFonts w:ascii="Times New Roman" w:hAnsi="Times New Roman"/>
                <w:b w:val="false"/>
                <w:i w:val="false"/>
                <w:color w:val="000000"/>
                <w:sz w:val="14"/>
              </w:rPr>
              <w:t xml:space="preserve">pocket limit $[5560]; paid at 100% after limit reached </w:t>
            </w:r>
          </w:p>
        </w:tc>
        <w:tc>
          <w:tcPr>
            <w:tcW w:w="105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Out-of-</w:t>
            </w:r>
            <w:r>
              <w:br/>
            </w:r>
            <w:r>
              <w:rPr>
                <w:rFonts w:ascii="Times New Roman" w:hAnsi="Times New Roman"/>
                <w:b w:val="false"/>
                <w:i w:val="false"/>
                <w:color w:val="000000"/>
                <w:sz w:val="14"/>
              </w:rPr>
              <w:t>pocket limit $[2780]; paid at 100% after limit reached</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r>
        <w:trPr>
          <w:trHeight w:val="195" w:hRule="atLeast"/>
        </w:trPr>
        <w:tc>
          <w:tcPr>
            <w:tcW w:w="2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96" w:type="dxa"/>
            <w:tcBorders/>
            <w:tcMar>
              <w:top w:w="30" w:type="dxa"/>
              <w:left w:w="30" w:type="dxa"/>
              <w:bottom w:w="15" w:type="dxa"/>
              <w:right w:w="30" w:type="dxa"/>
            </w:tcMar>
            <w:vAlign w:val="top"/>
          </w:tcP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5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0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c>
          <w:tcPr>
            <w:tcW w:w="1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4"/>
              </w:rPr>
              <w:t> </w:t>
            </w:r>
          </w:p>
        </w:tc>
      </w:tr>
    </w:tbl>
    <w:p>
      <w:pPr>
        <w:spacing w:before="0" w:after="0"/>
        <w:ind w:left="120"/>
        <w:jc w:val="both"/>
      </w:pPr>
      <w:r>
        <w:rPr>
          <w:rFonts w:ascii="Times New Roman" w:hAnsi="Times New Roman"/>
          <w:b w:val="false"/>
          <w:i w:val="false"/>
          <w:color w:val="000000"/>
          <w:sz w:val="18"/>
        </w:rPr>
        <w:t>* Plan F also has an option called a high deductible Plan F. This high deductible plan pays the same benefits as Plan F after one has paid a calendar year $[2300] deductible. Benefits from high deductible Plan F will not begin until out-of-pocket expenses exceed $[2300]. Out-of-pocket expenses for this deductible are expenses that would ordinarily be paid by the policy. These expenses include the Medicare deductibles for Part A and Part B, but do not include the plan’s separate foreign travel emergency deductible.</w:t>
      </w:r>
    </w:p>
    <w:p>
      <w:pPr>
        <w:pageBreakBefore/>
        <w:spacing w:before="0" w:after="0"/>
        <w:ind w:left="120"/>
        <w:jc w:val="left"/>
      </w:pPr>
    </w:p>
    <w:p>
      <w:pPr>
        <w:spacing w:before="0" w:after="0"/>
        <w:ind w:left="120"/>
        <w:jc w:val="center"/>
      </w:pPr>
      <w:r>
        <w:rPr>
          <w:rFonts w:ascii="Times New Roman" w:hAnsi="Times New Roman"/>
          <w:b/>
          <w:i w:val="false"/>
          <w:color w:val="000000"/>
          <w:sz w:val="22"/>
        </w:rPr>
        <w:t xml:space="preserve">PREMIUM INFORMATION </w:t>
      </w:r>
      <w:r>
        <w:rPr>
          <w:rFonts w:ascii="Times New Roman" w:hAnsi="Times New Roman"/>
          <w:b w:val="false"/>
          <w:i w:val="false"/>
          <w:color w:val="000000"/>
          <w:sz w:val="22"/>
        </w:rPr>
        <w:t>[Boldface Type]</w:t>
      </w:r>
    </w:p>
    <w:p>
      <w:pPr>
        <w:spacing w:before="0" w:after="0"/>
        <w:ind w:left="120"/>
        <w:jc w:val="both"/>
      </w:pPr>
      <w:r>
        <w:rPr>
          <w:rFonts w:ascii="Times New Roman" w:hAnsi="Times New Roman"/>
          <w:b w:val="false"/>
          <w:i w:val="false"/>
          <w:color w:val="000000"/>
          <w:sz w:val="22"/>
        </w:rPr>
        <w:t>We, [insert issuer’s name], can only raise your premium if we raise the premium for all policies like yours in this state. [If the premium is based on the increasing age of the insured individual, include information specifying when premiums will change.]</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 xml:space="preserve">READ YOUR POLICY VERY CAREFULLY </w:t>
      </w:r>
      <w:r>
        <w:rPr>
          <w:rFonts w:ascii="Times New Roman" w:hAnsi="Times New Roman"/>
          <w:b w:val="false"/>
          <w:i w:val="false"/>
          <w:color w:val="000000"/>
          <w:sz w:val="22"/>
        </w:rPr>
        <w:t>[Boldface Type]</w:t>
      </w:r>
    </w:p>
    <w:p>
      <w:pPr>
        <w:spacing w:before="0" w:after="0"/>
        <w:ind w:left="120"/>
        <w:jc w:val="both"/>
      </w:pPr>
      <w:r>
        <w:rPr>
          <w:rFonts w:ascii="Times New Roman" w:hAnsi="Times New Roman"/>
          <w:b w:val="false"/>
          <w:i w:val="false"/>
          <w:color w:val="000000"/>
          <w:sz w:val="22"/>
        </w:rPr>
        <w:t>This is only an outline describing your policy’s most important features. The policy is your insurance contract. You must read the policy itself to understand all of the rights and duties of both you and your insurance company.</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 xml:space="preserve">RIGHT TO RETURN POLICY </w:t>
      </w:r>
      <w:r>
        <w:rPr>
          <w:rFonts w:ascii="Times New Roman" w:hAnsi="Times New Roman"/>
          <w:b w:val="false"/>
          <w:i w:val="false"/>
          <w:color w:val="000000"/>
          <w:sz w:val="22"/>
        </w:rPr>
        <w:t>[Boldface Type]</w:t>
      </w:r>
    </w:p>
    <w:p>
      <w:pPr>
        <w:spacing w:before="0" w:after="0"/>
        <w:ind w:left="120"/>
        <w:jc w:val="both"/>
      </w:pPr>
      <w:r>
        <w:rPr>
          <w:rFonts w:ascii="Times New Roman" w:hAnsi="Times New Roman"/>
          <w:b w:val="false"/>
          <w:i w:val="false"/>
          <w:color w:val="000000"/>
          <w:sz w:val="22"/>
        </w:rPr>
        <w:t>If you find that you are not satisfied with your policy, you may return it to [insert issuer’s address]. If you send the policy back to us within 30 days after you receive it, we will treat the policy as if it had never been issued and return all of your payments.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 xml:space="preserve">POLICY REPLACEMENT </w:t>
      </w:r>
      <w:r>
        <w:rPr>
          <w:rFonts w:ascii="Times New Roman" w:hAnsi="Times New Roman"/>
          <w:b w:val="false"/>
          <w:i w:val="false"/>
          <w:color w:val="000000"/>
          <w:sz w:val="22"/>
        </w:rPr>
        <w:t>[Boldface Type]</w:t>
      </w:r>
    </w:p>
    <w:p>
      <w:pPr>
        <w:spacing w:before="0" w:after="0"/>
        <w:ind w:left="120"/>
        <w:jc w:val="both"/>
      </w:pPr>
      <w:r>
        <w:rPr>
          <w:rFonts w:ascii="Times New Roman" w:hAnsi="Times New Roman"/>
          <w:b w:val="false"/>
          <w:i w:val="false"/>
          <w:color w:val="000000"/>
          <w:sz w:val="22"/>
        </w:rPr>
        <w:t>If you are replacing another health insurance policy, do NOT cancel it until you have actually received your new policy and are sure you want to keep it.</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 xml:space="preserve">NOTICE </w:t>
      </w:r>
      <w:r>
        <w:rPr>
          <w:rFonts w:ascii="Times New Roman" w:hAnsi="Times New Roman"/>
          <w:b w:val="false"/>
          <w:i w:val="false"/>
          <w:color w:val="000000"/>
          <w:sz w:val="22"/>
        </w:rPr>
        <w:t>[Boldface Type]</w:t>
      </w:r>
    </w:p>
    <w:p>
      <w:pPr>
        <w:spacing w:before="0" w:after="0"/>
        <w:ind w:left="120"/>
        <w:jc w:val="both"/>
      </w:pPr>
      <w:r>
        <w:rPr>
          <w:rFonts w:ascii="Times New Roman" w:hAnsi="Times New Roman"/>
          <w:b w:val="false"/>
          <w:i w:val="false"/>
          <w:color w:val="000000"/>
          <w:sz w:val="22"/>
        </w:rPr>
        <w:t>This policy may not fully cover all of your medical costs.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producers:]</w:t>
      </w:r>
    </w:p>
    <w:p>
      <w:pPr>
        <w:spacing w:before="0" w:after="0"/>
        <w:ind w:left="120"/>
        <w:jc w:val="both"/>
      </w:pPr>
      <w:r>
        <w:rPr>
          <w:rFonts w:ascii="Times New Roman" w:hAnsi="Times New Roman"/>
          <w:b w:val="false"/>
          <w:i w:val="false"/>
          <w:color w:val="000000"/>
          <w:sz w:val="22"/>
        </w:rPr>
        <w:t>Neither [insert company’s name] nor its producers are connected with Medicare.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[for direct response:]</w:t>
      </w:r>
    </w:p>
    <w:p>
      <w:pPr>
        <w:spacing w:before="0" w:after="0"/>
        <w:ind w:left="120"/>
        <w:jc w:val="both"/>
      </w:pPr>
      <w:r>
        <w:rPr>
          <w:rFonts w:ascii="Times New Roman" w:hAnsi="Times New Roman"/>
          <w:b w:val="false"/>
          <w:i w:val="false"/>
          <w:color w:val="000000"/>
          <w:sz w:val="22"/>
        </w:rPr>
        <w:t>[Insert company’s name] is not connected with Medicare.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outline of coverage does not give all the details of Medicare coverage. Contact your local Social Security office or consult “Medicare and You” for more details.</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 xml:space="preserve">COMPLETE ANSWERS ARE VERY IMPORTANT </w:t>
      </w:r>
      <w:r>
        <w:rPr>
          <w:rFonts w:ascii="Times New Roman" w:hAnsi="Times New Roman"/>
          <w:b w:val="false"/>
          <w:i w:val="false"/>
          <w:color w:val="000000"/>
          <w:sz w:val="22"/>
        </w:rPr>
        <w:t>[Boldface Type]</w:t>
      </w:r>
    </w:p>
    <w:p>
      <w:pPr>
        <w:spacing w:before="0" w:after="0"/>
        <w:ind w:left="120"/>
        <w:jc w:val="both"/>
      </w:pPr>
      <w:r>
        <w:rPr>
          <w:rFonts w:ascii="Times New Roman" w:hAnsi="Times New Roman"/>
          <w:b w:val="false"/>
          <w:i w:val="false"/>
          <w:color w:val="000000"/>
          <w:sz w:val="22"/>
        </w:rPr>
        <w:t>When you fill out the application for the new policy, be sure to answer truthfully and completely all questions about your medical and health history. The company may cancel your policy and refuse to pay any claims if you leave out or falsify important medical information. [If the policy or certificate is guaranteed issue, this paragraph need not appear.]</w:t>
      </w:r>
    </w:p>
    <w:p>
      <w:pPr>
        <w:spacing w:before="0" w:after="0"/>
        <w:ind w:left="120"/>
        <w:jc w:val="both"/>
      </w:pPr>
      <w:r>
        <w:rPr>
          <w:rFonts w:ascii="Times New Roman" w:hAnsi="Times New Roman"/>
          <w:b w:val="false"/>
          <w:i w:val="false"/>
          <w:color w:val="000000"/>
          <w:sz w:val="22"/>
        </w:rPr>
        <w:t>Review the application carefully before you sign it. Be certain that all information has been properly recorded.</w:t>
      </w:r>
    </w:p>
    <w:p>
      <w:pPr>
        <w:spacing w:before="0" w:after="0"/>
        <w:ind w:left="120"/>
        <w:jc w:val="both"/>
      </w:pPr>
      <w:r>
        <w:rPr>
          <w:rFonts w:ascii="Times New Roman" w:hAnsi="Times New Roman"/>
          <w:b w:val="false"/>
          <w:i w:val="false"/>
          <w:color w:val="000000"/>
          <w:sz w:val="22"/>
        </w:rPr>
        <w:t xml:space="preserve">[Include for each plan prominently identified in the cover page a chart showing the services, Medicare payments, plan payments and insured payments, using the same language, in the same order, using uniform layout and format as shown in the charts below. No more than four plans may be shown on one chart. For purposes of illustration, charts for each plan are included in this Appendix E: Outline of Coverage. An issuer may use additional benefit plan descriptions on these charts pursuant to </w:t>
      </w:r>
      <w:hyperlink r:id="rId270">
        <w:r>
          <w:rPr>
            <w:rStyle w:val="Hyperlink"/>
            <w:rFonts w:ascii="Times New Roman" w:hAnsi="Times New Roman"/>
            <w:b w:val="false"/>
            <w:i w:val="false"/>
            <w:color w:val="000000"/>
            <w:sz w:val="22"/>
          </w:rPr>
          <w:t>paragraph 37.8(1)</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[Include an explanation of any innovative benefits on the cover page and in the chart, in a manner approved by the commissioner.]</w:t>
      </w:r>
    </w:p>
    <w:p>
      <w:pPr>
        <w:pageBreakBefore/>
        <w:spacing w:before="0" w:after="0"/>
        <w:ind w:left="120"/>
        <w:jc w:val="left"/>
      </w:pPr>
    </w:p>
    <w:p>
      <w:pPr>
        <w:spacing w:before="0" w:after="0"/>
        <w:ind w:left="120"/>
        <w:jc w:val="center"/>
      </w:pPr>
      <w:r>
        <w:rPr>
          <w:rFonts w:ascii="Times New Roman" w:hAnsi="Times New Roman"/>
          <w:b/>
          <w:i w:val="false"/>
          <w:color w:val="000000"/>
          <w:sz w:val="22"/>
        </w:rPr>
        <w:t>Benefit Chart of Medicare Supplement Plans Sold On or After January 1, 2020</w:t>
      </w:r>
    </w:p>
    <w:p>
      <w:pPr>
        <w:spacing w:before="0" w:after="0"/>
        <w:ind w:left="120"/>
        <w:jc w:val="left"/>
      </w:pPr>
      <w:r>
        <w:rPr>
          <w:rFonts w:ascii="Times New Roman" w:hAnsi="Times New Roman"/>
          <w:b w:val="false"/>
          <w:i w:val="false"/>
          <w:color w:val="000000"/>
          <w:sz w:val="22"/>
        </w:rPr>
        <w:t>This chart shows the benefits included in each of the standardized Medicare supplement plans. Some plans may not be available. Only applicants first eligible for Medicare before 2020 may purchase Plans C, F, and high deductible F.</w:t>
      </w:r>
    </w:p>
    <w:p>
      <w:pPr>
        <w:spacing w:before="0" w:after="0"/>
        <w:ind w:left="120"/>
        <w:jc w:val="left"/>
      </w:pPr>
      <w:r>
        <w:rPr>
          <w:rFonts w:ascii="Times New Roman" w:hAnsi="Times New Roman"/>
          <w:b w:val="false"/>
          <w:i w:val="false"/>
          <w:color w:val="000000"/>
          <w:sz w:val="22"/>
        </w:rPr>
        <w:t> </w:t>
      </w:r>
    </w:p>
    <w:p>
      <w:pPr>
        <w:spacing w:before="0" w:after="0"/>
        <w:ind w:left="120"/>
        <w:jc w:val="left"/>
      </w:pPr>
      <w:r>
        <w:rPr>
          <w:rFonts w:ascii="Times New Roman" w:hAnsi="Times New Roman"/>
          <w:b w:val="false"/>
          <w:i w:val="false"/>
          <w:color w:val="000000"/>
          <w:sz w:val="22"/>
        </w:rPr>
        <w:t>Note: A ✓ means 100% of the benefit is paid.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86"/>
        <w:gridCol w:w="865"/>
        <w:gridCol w:w="864"/>
        <w:gridCol w:w="864"/>
        <w:gridCol w:w="864"/>
        <w:gridCol w:w="1094"/>
        <w:gridCol w:w="1094"/>
        <w:gridCol w:w="864"/>
        <w:gridCol w:w="1094"/>
        <w:gridCol w:w="403"/>
        <w:gridCol w:w="864"/>
        <w:gridCol w:w="864"/>
      </w:tblGrid>
      <w:tr>
        <w:trPr>
          <w:trHeight w:val="645" w:hRule="atLeast"/>
        </w:trPr>
        <w:tc>
          <w:tcPr>
            <w:tcW w:w="1786" w:type="dxa"/>
            <w:vMerge w:val="restart"/>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Benefits</w:t>
            </w:r>
          </w:p>
        </w:tc>
        <w:tc>
          <w:tcPr>
            <w:tcW w:w="0" w:type="auto"/>
            <w:gridSpan w:val="8"/>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Plans Available to All Applicants</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Medicare first eligible before 2020 only</w:t>
            </w:r>
          </w:p>
        </w:tc>
      </w:tr>
      <w:tr>
        <w:trPr>
          <w:trHeight w:val="285" w:hRule="atLeast"/>
        </w:trPr>
        <w:tc>
          <w:tcPr>
            <w:tcW w:w="0" w:type="auto"/>
            <w:vMerge/>
            <w:tcBorders>
              <w:top w:val="nil"/>
              <w:bottom w:val="single" w:color="000000" w:sz="8"/>
              <w:right w:val="single" w:color="000000" w:sz="8"/>
            </w:tcBorders>
          </w:tcPr>
          <w:p/>
        </w:tc>
        <w:tc>
          <w:tcPr>
            <w:tcW w:w="865"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A</w:t>
            </w:r>
          </w:p>
        </w:tc>
        <w:tc>
          <w:tcPr>
            <w:tcW w:w="864"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B</w:t>
            </w:r>
          </w:p>
        </w:tc>
        <w:tc>
          <w:tcPr>
            <w:tcW w:w="864"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D</w:t>
            </w:r>
          </w:p>
        </w:tc>
        <w:tc>
          <w:tcPr>
            <w:tcW w:w="864"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G</w:t>
            </w:r>
            <w:r>
              <w:rPr>
                <w:rFonts w:ascii="Times New Roman" w:hAnsi="Times New Roman"/>
                <w:b w:val="false"/>
                <w:i w:val="false"/>
                <w:color w:val="000000"/>
                <w:sz w:val="18"/>
                <w:vertAlign w:val="superscript"/>
              </w:rPr>
              <w:t>1</w:t>
            </w:r>
          </w:p>
        </w:tc>
        <w:tc>
          <w:tcPr>
            <w:tcW w:w="1094"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K</w:t>
            </w:r>
          </w:p>
        </w:tc>
        <w:tc>
          <w:tcPr>
            <w:tcW w:w="1094"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L</w:t>
            </w:r>
          </w:p>
        </w:tc>
        <w:tc>
          <w:tcPr>
            <w:tcW w:w="864"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M</w:t>
            </w:r>
          </w:p>
        </w:tc>
        <w:tc>
          <w:tcPr>
            <w:tcW w:w="1094" w:type="dxa"/>
            <w:tcBorders>
              <w:bottom w:val="single" w:color="000000" w:sz="8"/>
              <w:right w:val="single" w:color="000000" w:sz="8"/>
            </w:tcBorders>
            <w:shd w:fill="d8d8d8"/>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N</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C</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F</w:t>
            </w:r>
            <w:r>
              <w:rPr>
                <w:rFonts w:ascii="Times New Roman" w:hAnsi="Times New Roman"/>
                <w:b w:val="false"/>
                <w:i w:val="false"/>
                <w:color w:val="000000"/>
                <w:sz w:val="18"/>
                <w:vertAlign w:val="superscript"/>
              </w:rPr>
              <w:t>1</w:t>
            </w:r>
          </w:p>
        </w:tc>
      </w:tr>
      <w:tr>
        <w:trPr>
          <w:trHeight w:val="1860"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Medicare Part A coinsurance and hospital coverage (up to an additional 365 days after Medicare benefits are used up)</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645"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Medicare Part B coinsurance or copayment</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50%</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75%</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Copays apply</w:t>
            </w:r>
            <w:r>
              <w:rPr>
                <w:rFonts w:ascii="Times New Roman" w:hAnsi="Times New Roman"/>
                <w:b w:val="false"/>
                <w:i w:val="false"/>
                <w:color w:val="000000"/>
                <w:sz w:val="18"/>
                <w:vertAlign w:val="superscript"/>
              </w:rPr>
              <w:t>3</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450"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Blood (first three pints)</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50%</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75%</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855"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Medicare Part A hospice care coinsurance or copayment</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50%</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75%</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645"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Skilled nursing facility coinsurance</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50%</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75%</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450"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Medicare Part A deductible</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50%</w:t>
            </w:r>
          </w:p>
        </w:tc>
        <w:tc>
          <w:tcPr>
            <w:tcW w:w="109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75%</w:t>
            </w:r>
          </w:p>
        </w:tc>
        <w:tc>
          <w:tcPr>
            <w:tcW w:w="86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50%</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450"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Medicare Part B deductible</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450"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Medicare Part B excess charges</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645" w:hRule="atLeast"/>
        </w:trPr>
        <w:tc>
          <w:tcPr>
            <w:tcW w:w="178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Foreign travel emergency (up to plan limits)</w:t>
            </w:r>
          </w:p>
        </w:tc>
        <w:tc>
          <w:tcPr>
            <w:tcW w:w="86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109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c>
          <w:tcPr>
            <w:tcW w:w="86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 ✓ </w:t>
            </w:r>
          </w:p>
        </w:tc>
      </w:tr>
      <w:tr>
        <w:trPr>
          <w:trHeight w:val="495" w:hRule="atLeast"/>
        </w:trPr>
        <w:tc>
          <w:tcPr>
            <w:tcW w:w="178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Out-of-pocket limit in [2019]</w:t>
            </w:r>
            <w:r>
              <w:rPr>
                <w:rFonts w:ascii="Times New Roman" w:hAnsi="Times New Roman"/>
                <w:b w:val="false"/>
                <w:i w:val="false"/>
                <w:color w:val="000000"/>
                <w:sz w:val="18"/>
                <w:vertAlign w:val="superscript"/>
              </w:rPr>
              <w:t>2</w:t>
            </w:r>
          </w:p>
        </w:tc>
        <w:tc>
          <w:tcPr>
            <w:tcW w:w="865" w:type="dxa"/>
            <w:tcBorders>
              <w:right w:val="single" w:color="000000" w:sz="8"/>
            </w:tcBorders>
            <w:tcMar>
              <w:top w:w="30" w:type="dxa"/>
              <w:left w:w="30" w:type="dxa"/>
              <w:bottom w:w="15" w:type="dxa"/>
              <w:right w:w="30" w:type="dxa"/>
            </w:tcMar>
            <w:vAlign w:val="top"/>
          </w:tcPr>
          <w:p/>
        </w:tc>
        <w:tc>
          <w:tcPr>
            <w:tcW w:w="864" w:type="dxa"/>
            <w:tcBorders>
              <w:right w:val="single" w:color="000000" w:sz="8"/>
            </w:tcBorders>
            <w:tcMar>
              <w:top w:w="30" w:type="dxa"/>
              <w:left w:w="30" w:type="dxa"/>
              <w:bottom w:w="15" w:type="dxa"/>
              <w:right w:w="30" w:type="dxa"/>
            </w:tcMar>
            <w:vAlign w:val="top"/>
          </w:tcPr>
          <w:p/>
        </w:tc>
        <w:tc>
          <w:tcPr>
            <w:tcW w:w="864" w:type="dxa"/>
            <w:tcBorders>
              <w:right w:val="single" w:color="000000" w:sz="8"/>
            </w:tcBorders>
            <w:tcMar>
              <w:top w:w="30" w:type="dxa"/>
              <w:left w:w="30" w:type="dxa"/>
              <w:bottom w:w="15" w:type="dxa"/>
              <w:right w:w="30" w:type="dxa"/>
            </w:tcMar>
            <w:vAlign w:val="top"/>
          </w:tcPr>
          <w:p/>
        </w:tc>
        <w:tc>
          <w:tcPr>
            <w:tcW w:w="864" w:type="dxa"/>
            <w:tcBorders>
              <w:right w:val="single" w:color="000000" w:sz="8"/>
            </w:tcBorders>
            <w:tcMar>
              <w:top w:w="30" w:type="dxa"/>
              <w:left w:w="30" w:type="dxa"/>
              <w:bottom w:w="15" w:type="dxa"/>
              <w:right w:w="30" w:type="dxa"/>
            </w:tcMar>
            <w:vAlign w:val="top"/>
          </w:tcPr>
          <w:p/>
        </w:tc>
        <w:tc>
          <w:tcPr>
            <w:tcW w:w="109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[$5560]</w:t>
            </w:r>
            <w:r>
              <w:rPr>
                <w:rFonts w:ascii="Times New Roman" w:hAnsi="Times New Roman"/>
                <w:b w:val="false"/>
                <w:i w:val="false"/>
                <w:color w:val="000000"/>
                <w:sz w:val="18"/>
                <w:vertAlign w:val="superscript"/>
              </w:rPr>
              <w:t>2</w:t>
            </w:r>
          </w:p>
        </w:tc>
        <w:tc>
          <w:tcPr>
            <w:tcW w:w="1094"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[$2780]</w:t>
            </w:r>
            <w:r>
              <w:rPr>
                <w:rFonts w:ascii="Times New Roman" w:hAnsi="Times New Roman"/>
                <w:b w:val="false"/>
                <w:i w:val="false"/>
                <w:color w:val="000000"/>
                <w:sz w:val="18"/>
                <w:vertAlign w:val="superscript"/>
              </w:rPr>
              <w:t>2</w:t>
            </w:r>
          </w:p>
        </w:tc>
        <w:tc>
          <w:tcPr>
            <w:tcW w:w="864" w:type="dxa"/>
            <w:tcBorders>
              <w:right w:val="single" w:color="000000" w:sz="8"/>
            </w:tcBorders>
            <w:tcMar>
              <w:top w:w="30" w:type="dxa"/>
              <w:left w:w="30" w:type="dxa"/>
              <w:bottom w:w="15" w:type="dxa"/>
              <w:right w:w="30" w:type="dxa"/>
            </w:tcMar>
            <w:vAlign w:val="top"/>
          </w:tcPr>
          <w:p/>
        </w:tc>
        <w:tc>
          <w:tcPr>
            <w:tcW w:w="1094" w:type="dxa"/>
            <w:tcBorders>
              <w:right w:val="single" w:color="000000" w:sz="8"/>
            </w:tcBorders>
            <w:tcMar>
              <w:top w:w="30" w:type="dxa"/>
              <w:left w:w="30" w:type="dxa"/>
              <w:bottom w:w="15" w:type="dxa"/>
              <w:right w:w="30" w:type="dxa"/>
            </w:tcMar>
            <w:vAlign w:val="top"/>
          </w:tcPr>
          <w:p/>
        </w:tc>
        <w:tc>
          <w:tcPr>
            <w:tcW w:w="403"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w:t>
            </w:r>
          </w:p>
        </w:tc>
        <w:tc>
          <w:tcPr>
            <w:tcW w:w="864" w:type="dxa"/>
            <w:tcBorders>
              <w:right w:val="single" w:color="000000" w:sz="8"/>
            </w:tcBorders>
            <w:tcMar>
              <w:top w:w="30" w:type="dxa"/>
              <w:left w:w="30" w:type="dxa"/>
              <w:bottom w:w="15" w:type="dxa"/>
              <w:right w:w="30" w:type="dxa"/>
            </w:tcMar>
            <w:vAlign w:val="top"/>
          </w:tcPr>
          <w:p/>
        </w:tc>
        <w:tc>
          <w:tcPr>
            <w:tcW w:w="864" w:type="dxa"/>
            <w:tcBorders/>
            <w:tcMar>
              <w:top w:w="30" w:type="dxa"/>
              <w:left w:w="30" w:type="dxa"/>
              <w:bottom w:w="15" w:type="dxa"/>
              <w:right w:w="30" w:type="dxa"/>
            </w:tcMar>
            <w:vAlign w:val="top"/>
          </w:tcPr>
          <w:p/>
        </w:tc>
      </w:tr>
    </w:tbl>
    <w:p>
      <w:pPr>
        <w:spacing w:before="0" w:after="0"/>
        <w:ind w:left="120"/>
        <w:jc w:val="both"/>
      </w:pPr>
      <w:r>
        <w:rPr>
          <w:rFonts w:ascii="Times New Roman" w:hAnsi="Times New Roman"/>
          <w:b w:val="false"/>
          <w:i w:val="false"/>
          <w:color w:val="000000"/>
          <w:sz w:val="18"/>
          <w:vertAlign w:val="superscript"/>
        </w:rPr>
        <w:t>1</w:t>
      </w:r>
      <w:r>
        <w:rPr>
          <w:rFonts w:ascii="Times New Roman" w:hAnsi="Times New Roman"/>
          <w:b w:val="false"/>
          <w:i w:val="false"/>
          <w:color w:val="000000"/>
          <w:sz w:val="22"/>
        </w:rPr>
        <w:t>Plans F and G also have high deductible options which require first paying the plans’ deductibles of [$2300] before the plans begin to pay. Once the plans’ deductibles are met, the plans pay 100% of covered services for the rest of the calendar year. High deductible Plan G does not cover the Medicare Part B deductible. However, high deductible Plans F and G count your payments of the Medicare Part B deductible toward meeting the plan deductibles.</w:t>
      </w:r>
    </w:p>
    <w:p>
      <w:pPr>
        <w:spacing w:before="0" w:after="0"/>
        <w:ind w:left="120"/>
        <w:jc w:val="both"/>
      </w:pPr>
      <w:r>
        <w:rPr>
          <w:rFonts w:ascii="Times New Roman" w:hAnsi="Times New Roman"/>
          <w:b w:val="false"/>
          <w:i w:val="false"/>
          <w:color w:val="000000"/>
          <w:sz w:val="18"/>
          <w:vertAlign w:val="superscript"/>
        </w:rPr>
        <w:t>2</w:t>
      </w:r>
      <w:r>
        <w:rPr>
          <w:rFonts w:ascii="Times New Roman" w:hAnsi="Times New Roman"/>
          <w:b w:val="false"/>
          <w:i w:val="false"/>
          <w:color w:val="000000"/>
          <w:sz w:val="22"/>
        </w:rPr>
        <w:t>Plans K and L pay 100% of covered services for the rest of the calendar year once you meet the out-of-pocket yearly limits.</w:t>
      </w:r>
    </w:p>
    <w:p>
      <w:pPr>
        <w:spacing w:before="0" w:after="0"/>
        <w:ind w:left="120"/>
        <w:jc w:val="both"/>
      </w:pPr>
      <w:r>
        <w:rPr>
          <w:rFonts w:ascii="Times New Roman" w:hAnsi="Times New Roman"/>
          <w:b w:val="false"/>
          <w:i w:val="false"/>
          <w:color w:val="000000"/>
          <w:sz w:val="18"/>
          <w:vertAlign w:val="superscript"/>
        </w:rPr>
        <w:t>3</w:t>
      </w:r>
      <w:r>
        <w:rPr>
          <w:rFonts w:ascii="Times New Roman" w:hAnsi="Times New Roman"/>
          <w:b w:val="false"/>
          <w:i w:val="false"/>
          <w:color w:val="000000"/>
          <w:sz w:val="22"/>
        </w:rPr>
        <w:t>Plan N pays 100% of the Medicare Part B coinsurance, except for copayments of up to $20 for some office visits and up to $50 copayments for emergency room visits that do not result in inpatient admissions.</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A</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$[1364] (Part A deductible)</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8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A</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PLAN A</w:t>
      </w:r>
    </w:p>
    <w:p>
      <w:pPr>
        <w:spacing w:before="0" w:after="0"/>
        <w:ind w:left="120"/>
        <w:jc w:val="center"/>
      </w:pPr>
      <w:r>
        <w:rPr>
          <w:rFonts w:ascii="Times New Roman" w:hAnsi="Times New Roman"/>
          <w:b w:val="false"/>
          <w:i w:val="false"/>
          <w:color w:val="000000"/>
          <w:sz w:val="22"/>
        </w:rPr>
        <w:t>MEDICARE PARTS A &amp; B</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w:t>
            </w:r>
          </w:p>
          <w:p>
            <w:pPr>
              <w:spacing w:before="0" w:after="0"/>
              <w:ind w:left="160"/>
              <w:jc w:val="left"/>
            </w:pPr>
            <w:r>
              <w:rPr>
                <w:rFonts w:ascii="Times New Roman" w:hAnsi="Times New Roman"/>
                <w:b w:val="false"/>
                <w:i w:val="false"/>
                <w:color w:val="000000"/>
                <w:sz w:val="16"/>
              </w:rPr>
              <w:t>and medical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—Durable medical equipment </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  First $[185]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42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  Remainder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Once you have been billed $[185] of Medicare-approved amounts for covered services, your Medicare Part B deductible will have been met for the calendar year.</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MEDICARE PLAN B</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$[1364]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B</w:t>
      </w:r>
    </w:p>
    <w:p>
      <w:pPr>
        <w:spacing w:before="0" w:after="0"/>
        <w:ind w:left="120"/>
        <w:jc w:val="center"/>
      </w:pPr>
      <w:r>
        <w:rPr>
          <w:rFonts w:ascii="Times New Roman" w:hAnsi="Times New Roman"/>
          <w:b w:val="false"/>
          <w:i w:val="false"/>
          <w:color w:val="000000"/>
          <w:sz w:val="22"/>
        </w:rPr>
        <w:t>MEDICARE (PART B)—MEDICAL SERVICES—PER CALENDAR YEAR</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center"/>
      </w:pPr>
      <w:r>
        <w:rPr>
          <w:rFonts w:ascii="Times New Roman" w:hAnsi="Times New Roman"/>
          <w:b w:val="false"/>
          <w:i w:val="false"/>
          <w:color w:val="000000"/>
          <w:sz w:val="22"/>
        </w:rPr>
        <w:t>PLAN B</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medical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—Durable medical equipment </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  First $[185]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42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  Remainder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C</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$[1364]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C</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center"/>
      </w:pPr>
      <w:r>
        <w:rPr>
          <w:rFonts w:ascii="Times New Roman" w:hAnsi="Times New Roman"/>
          <w:b w:val="false"/>
          <w:i w:val="false"/>
          <w:color w:val="000000"/>
          <w:sz w:val="22"/>
        </w:rPr>
        <w:t>PLAN C</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medical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  First $[185]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2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  Remainder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PLAN C</w:t>
      </w:r>
    </w:p>
    <w:p>
      <w:pPr>
        <w:spacing w:before="0" w:after="0"/>
        <w:ind w:left="120"/>
        <w:jc w:val="center"/>
      </w:pPr>
      <w:r>
        <w:rPr>
          <w:rFonts w:ascii="Times New Roman" w:hAnsi="Times New Roman"/>
          <w:b w:val="false"/>
          <w:i w:val="false"/>
          <w:color w:val="000000"/>
          <w:sz w:val="22"/>
        </w:rPr>
        <w:t>OTHER BENEFITS—NOT COVERED BY MEDICARE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FOREIGN TRAVEL—NOT COVERED BY MEDICARE</w:t>
            </w:r>
          </w:p>
          <w:p>
            <w:pPr>
              <w:spacing w:before="0" w:after="0"/>
              <w:ind w:left="160"/>
              <w:jc w:val="left"/>
            </w:pPr>
            <w:r>
              <w:rPr>
                <w:rFonts w:ascii="Times New Roman" w:hAnsi="Times New Roman"/>
                <w:b w:val="false"/>
                <w:i w:val="false"/>
                <w:color w:val="000000"/>
                <w:sz w:val="16"/>
              </w:rPr>
              <w:t>Medically necessary emergency care services beginning during the first 60 days of each trip outside the USA</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$250 each calendar year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charges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to a lifetime maximum benefit of $50,000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and amounts over the $50,000 lifetime maximum</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D</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$[1364]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D</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PLAN D</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medical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  First $[185]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42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  Remainder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PLAN D</w:t>
      </w:r>
    </w:p>
    <w:p>
      <w:pPr>
        <w:spacing w:before="0" w:after="0"/>
        <w:ind w:left="120"/>
        <w:jc w:val="center"/>
      </w:pPr>
      <w:r>
        <w:rPr>
          <w:rFonts w:ascii="Times New Roman" w:hAnsi="Times New Roman"/>
          <w:b w:val="false"/>
          <w:i w:val="false"/>
          <w:color w:val="000000"/>
          <w:sz w:val="22"/>
        </w:rPr>
        <w:t>OTHER BENEFITS—NOT COVERED BY MEDICARE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FOREIGN TRAVEL—NOT COVERED</w:t>
            </w:r>
          </w:p>
          <w:p>
            <w:pPr>
              <w:spacing w:before="0" w:after="0"/>
              <w:ind w:left="160"/>
              <w:jc w:val="left"/>
            </w:pPr>
            <w:r>
              <w:rPr>
                <w:rFonts w:ascii="Times New Roman" w:hAnsi="Times New Roman"/>
                <w:b/>
                <w:i w:val="false"/>
                <w:color w:val="000000"/>
                <w:sz w:val="16"/>
              </w:rPr>
              <w:t>BY MEDICARE</w:t>
            </w:r>
          </w:p>
          <w:p>
            <w:pPr>
              <w:spacing w:before="0" w:after="0"/>
              <w:ind w:left="160"/>
              <w:jc w:val="left"/>
            </w:pPr>
            <w:r>
              <w:rPr>
                <w:rFonts w:ascii="Times New Roman" w:hAnsi="Times New Roman"/>
                <w:b w:val="false"/>
                <w:i w:val="false"/>
                <w:color w:val="000000"/>
                <w:sz w:val="16"/>
              </w:rPr>
              <w:t>Medically necessary emergency care services beginning during the first 60 days of each trip outside the USA</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$250 each calendar year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charges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to a lifetime maximum benefit of $50,000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and amounts over the $50,000 lifetime maximum</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F or HIGH DEDUCTIBLE PLAN F</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[AFTER YOU PAY $[2300] DEDUCTIBLE,**]</w:t>
            </w:r>
          </w:p>
          <w:p>
            <w:pPr>
              <w:spacing w:before="0" w:after="0"/>
              <w:ind w:left="16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$[1364]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This high deductible plan pays the same benefits as Plan F after you have paid a calendar year $[2300] deductible. Benefits from the high deductible Plan F will not begin until out-of-pocket expenses are $[2300]. Out-of-pocket expenses for this deductible are expenses that would ordinarily be paid by the policy. This includes the Medicare deductibles for Part A and Part B, but does not include the plan’s separate foreign travel emergency deductible.]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F or HIGH DEDUCTIBLE PLAN F</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[AFTER YOU PAY $[2300] DEDUCTIBLE,**] 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This high deductible plan pays the same benefits as Plan F after you have paid a calendar year $[2300] deductible. Benefits from the high deductible Plan F will not begin until out-of-pocket expenses are $[2300]. Out-of-pocket expenses for this deductible are expenses that would ordinarily be paid by the policy. This includes the Medicare deductibles for Part A and Part B, but does not include the plan’s separate foreign travel emergency deductible.]</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F or HIGH DEDUCTIBLE PLAN F</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[AFTER YOU PAY $[2300] DEDUCTIBLE,**] 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w:t>
            </w:r>
          </w:p>
          <w:p>
            <w:pPr>
              <w:spacing w:before="0" w:after="0"/>
              <w:ind w:left="160"/>
              <w:jc w:val="left"/>
            </w:pPr>
            <w:r>
              <w:rPr>
                <w:rFonts w:ascii="Times New Roman" w:hAnsi="Times New Roman"/>
                <w:b w:val="false"/>
                <w:i w:val="false"/>
                <w:color w:val="000000"/>
                <w:sz w:val="16"/>
              </w:rPr>
              <w:t>and medical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  First $[185]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2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  Remainder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PLAN F or HIGH DEDUCTIBLE PLAN F</w:t>
      </w:r>
    </w:p>
    <w:p>
      <w:pPr>
        <w:spacing w:before="0" w:after="0"/>
        <w:ind w:left="120"/>
        <w:jc w:val="center"/>
      </w:pPr>
      <w:r>
        <w:rPr>
          <w:rFonts w:ascii="Times New Roman" w:hAnsi="Times New Roman"/>
          <w:b w:val="false"/>
          <w:i w:val="false"/>
          <w:color w:val="000000"/>
          <w:sz w:val="22"/>
        </w:rPr>
        <w:t>OTHER BENEFITS—NOT COVERED BY MEDICARE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[AFTER YOU PAY $[2300] DEDUCTIBLE,**] 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FOREIGN TRAVEL—NOT COVERED BY MEDICARE</w:t>
            </w:r>
          </w:p>
          <w:p>
            <w:pPr>
              <w:spacing w:before="0" w:after="0"/>
              <w:ind w:left="160"/>
              <w:jc w:val="left"/>
            </w:pPr>
            <w:r>
              <w:rPr>
                <w:rFonts w:ascii="Times New Roman" w:hAnsi="Times New Roman"/>
                <w:b w:val="false"/>
                <w:i w:val="false"/>
                <w:color w:val="000000"/>
                <w:sz w:val="16"/>
              </w:rPr>
              <w:t>Medically necessary emergency care services beginning during the first 60 days of each trip outside the USA</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$250 each calendar year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charges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to a lifetime maximum benefit of $50,000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and amounts over the $50,000 lifetime maximum</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This high deductible plan pays the same benefits as Plan F after you have paid a calendar year $[2300] deductible. Benefits from the high deductible Plan F will not begin until out-of-pocket expenses are $[2300]. Out-of-pocket expenses for this deductible are expenses that would ordinarily be paid by the policy. This includes the Medicare deductibles for Part A and Part B, but does not include the plan’s separate foreign travel emergency deductible.]</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G or HIGH DEDUCTIBLE PLAN G</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[AFTER YOU PAY $[2300] DEDUCTIBLE,**] 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$[1364]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This high deductible plan pays the same benefits as Plan G after you have paid a calendar year [$2300] deductible. Benefits from the high deductible Plan G will not begin until out-of-pocket expenses are [$2300]. Out-of-pocket expenses for this deductible include expenses for the Medicare Part B deductible, and expenses that would ordinarily be paid by the policy. This does not include the plan’s separate foreign travel emergency deductible.]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issuer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G or HIGH DEDUCTIBLE PLAN G</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[AFTER YOU PAY $[2300] DEDUCTIBLE,**] 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$[185] (Unless Part B deductible has been met) </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$[185] (Unless Part B deductible has been met) </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high deductible plan pays the same benefits as Plan G after you have paid a calendar year $[2300] deductible. Benefits from the high deductible Plan G will not begin until out-of-pocket expenses are $[2300]. Out-of-pocket expenses for this deductible include expenses for the Medicare Part B deductible, and expenses that would ordinarily be paid by the policy. This does not include the plan’s separate foreign travel emergency deductible.]</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G or HIGH DEDUCTIBLE PLAN G</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[AFTER YOU PAY $[2300] DEDUCTIBLE,**] 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medical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$[185] (Unless Part B deductible has been met) </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Remainder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center"/>
      </w:pPr>
      <w:r>
        <w:rPr>
          <w:rFonts w:ascii="Times New Roman" w:hAnsi="Times New Roman"/>
          <w:b w:val="false"/>
          <w:i w:val="false"/>
          <w:color w:val="000000"/>
          <w:sz w:val="22"/>
        </w:rPr>
        <w:t>PLAN G or HIGH DEDUCTIBLE PLAN G</w:t>
      </w:r>
    </w:p>
    <w:p>
      <w:pPr>
        <w:spacing w:before="0" w:after="0"/>
        <w:ind w:left="120"/>
        <w:jc w:val="center"/>
      </w:pPr>
      <w:r>
        <w:rPr>
          <w:rFonts w:ascii="Times New Roman" w:hAnsi="Times New Roman"/>
          <w:b w:val="false"/>
          <w:i w:val="false"/>
          <w:color w:val="000000"/>
          <w:sz w:val="22"/>
        </w:rPr>
        <w:t>OTHER BENEFITS—NOT COVERED BY MEDICARE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[AFTER YOU PAY $[2300] DEDUCTIBLE,**] 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 ADDITION TO $[2300] DEDUCTIBLE,**] YOU PAY</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FOREIGN TRAVEL—NOT COVERED BY MEDICARE</w:t>
            </w:r>
          </w:p>
          <w:p>
            <w:pPr>
              <w:spacing w:before="0" w:after="0"/>
              <w:ind w:left="160"/>
              <w:jc w:val="left"/>
            </w:pPr>
            <w:r>
              <w:rPr>
                <w:rFonts w:ascii="Times New Roman" w:hAnsi="Times New Roman"/>
                <w:b w:val="false"/>
                <w:i w:val="false"/>
                <w:color w:val="000000"/>
                <w:sz w:val="16"/>
              </w:rPr>
              <w:t>Medically necessary emergency care services beginning during the first 60 days of each trip outside the USA</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$250 each calendar year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charges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to a lifetime maximum benefit of $50,000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and amounts over the $50,000 lifetime maximum</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[**This high deductible plan pays the same benefits as Plan G after you have paid a calendar year $[2300] deductible. Benefits from the high deductible Plan G will not begin until out-of-pocket expenses are $[2300]. Out-of-pocket expenses for this deductible include expenses for the Medicare Part B deductible, and expenses that would ordinarily be paid by the policy. This does not include the plan’s separate foreign travel emergency deductible.]</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K</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(50% of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(50% of Part A deductible)♦</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$[341] a day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$[682] a day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Up to $[85.25]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$[85.25] a day♦</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50% of copayment/</w:t>
            </w:r>
            <w:r>
              <w:br/>
            </w:r>
            <w:r>
              <w:rPr>
                <w:rFonts w:ascii="Times New Roman" w:hAnsi="Times New Roman"/>
                <w:b w:val="false"/>
                <w:i w:val="false"/>
                <w:color w:val="000000"/>
                <w:sz w:val="16"/>
              </w:rPr>
              <w:t xml:space="preserve">coinsurance </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50% of Medicare copayment/</w:t>
            </w:r>
            <w:r>
              <w:br/>
            </w:r>
            <w:r>
              <w:rPr>
                <w:rFonts w:ascii="Times New Roman" w:hAnsi="Times New Roman"/>
                <w:b w:val="false"/>
                <w:i w:val="false"/>
                <w:color w:val="000000"/>
                <w:sz w:val="16"/>
              </w:rPr>
              <w:t>coinsurance♦</w:t>
            </w:r>
          </w:p>
        </w:tc>
      </w:tr>
    </w:tbl>
    <w:p>
      <w:pPr>
        <w:spacing w:before="0" w:after="0"/>
        <w:ind w:left="120"/>
        <w:jc w:val="both"/>
      </w:pPr>
      <w:r>
        <w:rPr>
          <w:rFonts w:ascii="Times New Roman" w:hAnsi="Times New Roman"/>
          <w:b w:val="false"/>
          <w:i w:val="false"/>
          <w:color w:val="000000"/>
          <w:sz w:val="22"/>
        </w:rPr>
        <w:t xml:space="preserve">* You will pay half the cost sharing of some covered services until you reach the annual out-of-pocket maximum of $[5560] each calendar year. The amounts that count toward your annual limit are noted with diamonds (♦) in the chart above. Once you reach the annual maximum, the plan pays 100% of your Medicare copayment and coinsurance for the rest of the calendar year. </w:t>
      </w:r>
      <w:r>
        <w:rPr>
          <w:rFonts w:ascii="Times New Roman" w:hAnsi="Times New Roman"/>
          <w:b/>
          <w:i w:val="false"/>
          <w:color w:val="000000"/>
          <w:sz w:val="22"/>
        </w:rPr>
        <w:t>However, this limit does NOT include charges from your provider that exceed Medicare-approved amounts (these are called “Excess Charges”), and you will be responsible for paying this difference in the amount charged by your provider and the amount paid by Medicare for the item or service.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K</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Preventive Benefits for Medicare-Covered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Generally 80% or more of Medicare-</w:t>
            </w:r>
          </w:p>
          <w:p>
            <w:pPr>
              <w:spacing w:before="0" w:after="0"/>
              <w:ind w:left="160"/>
              <w:jc w:val="left"/>
            </w:pPr>
            <w:r>
              <w:rPr>
                <w:rFonts w:ascii="Times New Roman" w:hAnsi="Times New Roman"/>
                <w:b w:val="false"/>
                <w:i w:val="false"/>
                <w:color w:val="000000"/>
                <w:sz w:val="16"/>
              </w:rPr>
              <w:t>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Remainder of Medicare-Approved Amounts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 above Medicare-Approved Amounts</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10%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10%♦</w:t>
            </w:r>
          </w:p>
        </w:tc>
      </w:tr>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 (and they do not count toward annual out-of-pocket limit of $[5560])*</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10%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10%♦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xml:space="preserve">* You will pay half the cost sharing of some covered services until you reach the annual out-of-pocket maximum of $[5560] each calendar year. The amounts that count toward your annual limit are noted with diamonds (♦) in the chart above. Once you reach the annual maximum, the plan pays 100% of your Medicare copayment and coinsurance for the rest of the calendar year. </w:t>
      </w:r>
      <w:r>
        <w:rPr>
          <w:rFonts w:ascii="Times New Roman" w:hAnsi="Times New Roman"/>
          <w:b/>
          <w:i w:val="false"/>
          <w:color w:val="000000"/>
          <w:sz w:val="22"/>
        </w:rPr>
        <w:t>However, this limit does NOT include charges from your provider that exceed Medicare-approved amounts (these are called “Excess Charges”), and you will be responsible for paying this difference in the amount charged by your provider and the amount paid by Medicare for the item or service.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K</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medical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7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—Durable medical equipment</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Arial Unicode MS" w:hAnsi="Arial Unicode MS"/>
                <w:b w:val="false"/>
                <w:i w:val="false"/>
                <w:color w:val="000000"/>
                <w:sz w:val="18"/>
              </w:rPr>
              <w:t> First $[185]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$[185] (Part B deductible)♦</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w:t>
            </w:r>
          </w:p>
        </w:tc>
      </w:tr>
    </w:tbl>
    <w:p>
      <w:pPr>
        <w:spacing w:before="0" w:after="0"/>
        <w:ind w:left="120"/>
        <w:jc w:val="both"/>
      </w:pPr>
      <w:r>
        <w:rPr>
          <w:rFonts w:ascii="Times New Roman" w:hAnsi="Times New Roman"/>
          <w:b w:val="false"/>
          <w:i w:val="false"/>
          <w:color w:val="000000"/>
          <w:sz w:val="22"/>
        </w:rPr>
        <w:t>Medicare benefits are subject to change. Please consult the latest [</w:t>
      </w:r>
      <w:r>
        <w:rPr>
          <w:rFonts w:ascii="Times New Roman" w:hAnsi="Times New Roman"/>
          <w:b w:val="false"/>
          <w:i/>
          <w:color w:val="000000"/>
          <w:sz w:val="22"/>
        </w:rPr>
        <w:t>Choosing a Medigap Policy: Guide to Health Insurance for People with Medicare</w:t>
      </w:r>
      <w:r>
        <w:rPr>
          <w:rFonts w:ascii="Times New Roman" w:hAnsi="Times New Roman"/>
          <w:b w:val="false"/>
          <w:i w:val="false"/>
          <w:color w:val="000000"/>
          <w:sz w:val="22"/>
        </w:rPr>
        <w:t>, issued by Centers for Medicare and Medicaid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You will pay half the cost sharing of some covered services until you reach the annual out-of-pocket maximum of $[5560] each calendar year. The amounts that count toward your annual limit are noted with diamonds (♦) in the chart above. Once you reach the annual maximum, the plan pays 100% of your Medicare copayment and coinsurance for the rest of the calendar year. </w:t>
      </w:r>
      <w:r>
        <w:rPr>
          <w:rFonts w:ascii="Times New Roman" w:hAnsi="Times New Roman"/>
          <w:b/>
          <w:i w:val="false"/>
          <w:color w:val="000000"/>
          <w:sz w:val="22"/>
        </w:rPr>
        <w:t>However, this limit does NOT include charges from your provider that exceed Medicare-approved amounts (these are called “Excess Charges”), and you will be responsible for paying this difference in the amount charged by your provider and the amount paid by Medicare for the item or service.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This plan limits your annual out-of-pocket payments for Medicare-approved amounts to $[5560] per year. </w:t>
      </w:r>
      <w:r>
        <w:rPr>
          <w:rFonts w:ascii="Times New Roman" w:hAnsi="Times New Roman"/>
          <w:b/>
          <w:i w:val="false"/>
          <w:color w:val="000000"/>
          <w:sz w:val="22"/>
        </w:rPr>
        <w:t>However, this limit does NOT include charges from your provider that exceed Medicare-approved amounts (these are called “Excess Charges”), and you will be responsible for paying this difference in the amount charged by your provider and the amount paid by Medicare for the item or service.</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L</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$[1023] (75% of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(25% of Part A deductible)♦</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Up to $[127.88] a day (75% of Part A Coinsurance)</w:t>
            </w:r>
          </w:p>
        </w:tc>
        <w:tc>
          <w:tcPr>
            <w:tcW w:w="2213" w:type="dxa"/>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Up to $[42.63] a day (25% of Part A Coinsurance)♦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 xml:space="preserve">coinsurance for outpatient drugs and inpatient respite care </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75% of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25% of copayment/</w:t>
            </w:r>
            <w:r>
              <w:br/>
            </w:r>
            <w:r>
              <w:rPr>
                <w:rFonts w:ascii="Times New Roman" w:hAnsi="Times New Roman"/>
                <w:b w:val="false"/>
                <w:i w:val="false"/>
                <w:color w:val="000000"/>
                <w:sz w:val="16"/>
              </w:rPr>
              <w:t>coinsurance♦</w:t>
            </w:r>
          </w:p>
        </w:tc>
      </w:tr>
    </w:tbl>
    <w:p>
      <w:pPr>
        <w:spacing w:before="0" w:after="0"/>
        <w:ind w:left="120"/>
        <w:jc w:val="both"/>
      </w:pPr>
      <w:r>
        <w:rPr>
          <w:rFonts w:ascii="Times New Roman" w:hAnsi="Times New Roman"/>
          <w:b w:val="false"/>
          <w:i w:val="false"/>
          <w:color w:val="000000"/>
          <w:sz w:val="22"/>
        </w:rPr>
        <w:t xml:space="preserve">* You will pay one-fourth of the cost sharing of some covered services until you reach the annual out-of-pocket limit of $[2780] each calendar year. The amounts that count toward your annual limit are noted with diamonds (♦) in the chart above. Once you reach the annual limit, the plan pays 100% of your Medicare copayment and coinsurance for the rest of the calendar year. </w:t>
      </w:r>
      <w:r>
        <w:rPr>
          <w:rFonts w:ascii="Times New Roman" w:hAnsi="Times New Roman"/>
          <w:b/>
          <w:i w:val="false"/>
          <w:color w:val="000000"/>
          <w:sz w:val="22"/>
        </w:rPr>
        <w:t>However, this limit does NOT include charges from your provider that exceed Medicare-approved amounts (these are called “Excess Charges”), and you will be responsible for paying this difference in the amount charged by your provider and the amount paid by Medicare for the item or service.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L</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16"/>
              </w:rPr>
              <w:t>Preventive Benefits for Medicare-Covered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Generally 75% or more of Medicare-</w:t>
            </w:r>
          </w:p>
          <w:p>
            <w:pPr>
              <w:spacing w:before="0" w:after="0"/>
              <w:ind w:left="160"/>
              <w:jc w:val="left"/>
            </w:pPr>
            <w:r>
              <w:rPr>
                <w:rFonts w:ascii="Times New Roman" w:hAnsi="Times New Roman"/>
                <w:b w:val="false"/>
                <w:i w:val="false"/>
                <w:color w:val="000000"/>
                <w:sz w:val="16"/>
              </w:rPr>
              <w:t>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 above Medicare-Approved Amounts</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15%</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5%♦</w:t>
            </w:r>
          </w:p>
        </w:tc>
      </w:tr>
      <w:tr>
        <w:trPr>
          <w:trHeight w:val="76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 (and they do not count toward annual out-of-pocket limit of $[2780])*</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both"/>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15%</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5%♦</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xml:space="preserve">* You will pay one-fourth of the cost sharing of some covered services until you reach the annual out-of-pocket limit of $[2780] each calendar year. The amounts that count toward your annual limit are noted with diamonds (♦) in the chart above. Once you reach the annual limit, the plan pays 100% of your Medicare copayment and coinsurance for the rest of the calendar year. </w:t>
      </w:r>
      <w:r>
        <w:rPr>
          <w:rFonts w:ascii="Times New Roman" w:hAnsi="Times New Roman"/>
          <w:b/>
          <w:i w:val="false"/>
          <w:color w:val="000000"/>
          <w:sz w:val="22"/>
        </w:rPr>
        <w:t>However, this limit does NOT include charges from your provider that exceed Medicare-approved amounts (these are called “Excess Charges”), and you will be responsible for paying this difference in the amount charged by your provider and the amount paid by Medicare for the item or service.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Once you have been billed $[185] of Medicare-approved amounts for covered services (which are noted with an asterisk), your Part B deductible will have been met for the calendar year. </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L</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 xml:space="preserve">medical supplies </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—Durable medical equipment</w:t>
            </w:r>
          </w:p>
          <w:p>
            <w:pPr>
              <w:spacing w:before="0" w:after="0"/>
              <w:ind w:left="160"/>
              <w:jc w:val="left"/>
            </w:pPr>
            <w:r>
              <w:rPr>
                <w:rFonts w:ascii="Arial Unicode MS" w:hAnsi="Arial Unicode MS"/>
                <w:b w:val="false"/>
                <w:i w:val="false"/>
                <w:color w:val="000000"/>
                <w:sz w:val="18"/>
              </w:rPr>
              <w:t>  First $[185] of Medicare-Approved</w:t>
            </w:r>
          </w:p>
          <w:p>
            <w:pPr>
              <w:spacing w:before="0" w:after="0"/>
              <w:ind w:left="160"/>
              <w:jc w:val="left"/>
            </w:pPr>
            <w:r>
              <w:rPr>
                <w:rFonts w:ascii="Times New Roman" w:hAnsi="Times New Roman"/>
                <w:b w:val="false"/>
                <w:i w:val="false"/>
                <w:color w:val="000000"/>
                <w:sz w:val="16"/>
              </w:rPr>
              <w:t>Amounts****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$[185] (Part B deductible)♦</w:t>
            </w:r>
          </w:p>
        </w:tc>
      </w:tr>
      <w:tr>
        <w:trPr>
          <w:trHeight w:val="24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Arial Unicode MS" w:hAnsi="Arial Unicode MS"/>
                <w:b w:val="false"/>
                <w:i w:val="false"/>
                <w:color w:val="000000"/>
                <w:sz w:val="18"/>
              </w:rPr>
              <w:t>  Remainder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w:t>
            </w:r>
          </w:p>
        </w:tc>
      </w:tr>
    </w:tbl>
    <w:p>
      <w:pPr>
        <w:spacing w:before="0" w:after="0"/>
        <w:ind w:left="120"/>
        <w:jc w:val="both"/>
      </w:pPr>
      <w:r>
        <w:rPr>
          <w:rFonts w:ascii="Times New Roman" w:hAnsi="Times New Roman"/>
          <w:b w:val="false"/>
          <w:i w:val="false"/>
          <w:color w:val="000000"/>
          <w:sz w:val="22"/>
        </w:rPr>
        <w:t>Medicare benefits are subject to change. Please consult the latest [</w:t>
      </w:r>
      <w:r>
        <w:rPr>
          <w:rFonts w:ascii="Times New Roman" w:hAnsi="Times New Roman"/>
          <w:b w:val="false"/>
          <w:i/>
          <w:color w:val="000000"/>
          <w:sz w:val="22"/>
        </w:rPr>
        <w:t>Choosing a Medigap Policy: Guide to Health Insurance for People with Medicare</w:t>
      </w:r>
      <w:r>
        <w:rPr>
          <w:rFonts w:ascii="Times New Roman" w:hAnsi="Times New Roman"/>
          <w:b w:val="false"/>
          <w:i w:val="false"/>
          <w:color w:val="000000"/>
          <w:sz w:val="22"/>
        </w:rPr>
        <w:t>, issued by Centers for Medicare and Medicaid Services].</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You will pay one-fourth of the cost sharing of some covered services until you reach the annual out-of-pocket limit of $[2780] each calendar year. The amounts that count toward your annual limit are noted with diamonds (♦) in the chart above. Once you reach the annual limit, the plan pays 100% of your Medicare copayment and coinsurance for the rest of the calendar year. </w:t>
      </w:r>
      <w:r>
        <w:rPr>
          <w:rFonts w:ascii="Times New Roman" w:hAnsi="Times New Roman"/>
          <w:b/>
          <w:i w:val="false"/>
          <w:color w:val="000000"/>
          <w:sz w:val="22"/>
        </w:rPr>
        <w:t>However, this limit does NOT include charges from your provider that exceed Medicare-approved amounts (these are called “Excess Charges”), and you will be responsible for paying this difference in the amount charged by your provider and the amount paid by Medicare for the item or service.</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 Once you have been billed $[185] of Medicare-approved amounts for covered services (which are noted with an asterisk), your Part B deductible will have been met for the calendar year. </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M</w:t>
      </w:r>
    </w:p>
    <w:p>
      <w:pPr>
        <w:spacing w:before="0" w:after="0"/>
        <w:ind w:left="120"/>
        <w:jc w:val="center"/>
      </w:pPr>
      <w:r>
        <w:rPr>
          <w:rFonts w:ascii="Times New Roman" w:hAnsi="Times New Roman"/>
          <w:b w:val="false"/>
          <w:i w:val="false"/>
          <w:color w:val="000000"/>
          <w:sz w:val="22"/>
        </w:rPr>
        <w:t>MEDICARE (PART A)—HOSPITAL SERVICES—PER BENEFIT PERIOD</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(50% of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(50% of Part A deductible)</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M</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M</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 xml:space="preserve">medical supplies </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51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—Durable medical equipment</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$[185] (Part B deductible)</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PLAN M</w:t>
      </w:r>
    </w:p>
    <w:p>
      <w:pPr>
        <w:spacing w:before="0" w:after="0"/>
        <w:ind w:left="120"/>
        <w:jc w:val="center"/>
      </w:pPr>
      <w:r>
        <w:rPr>
          <w:rFonts w:ascii="Times New Roman" w:hAnsi="Times New Roman"/>
          <w:b w:val="false"/>
          <w:i w:val="false"/>
          <w:color w:val="000000"/>
          <w:sz w:val="22"/>
        </w:rPr>
        <w:t>OTHER BENEFITS—NOT COVERED BY MEDICARE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FOREIGN TRAVEL—NOT COVERED</w:t>
            </w:r>
          </w:p>
          <w:p>
            <w:pPr>
              <w:spacing w:before="0" w:after="0"/>
              <w:ind w:left="160"/>
              <w:jc w:val="left"/>
            </w:pPr>
            <w:r>
              <w:rPr>
                <w:rFonts w:ascii="Times New Roman" w:hAnsi="Times New Roman"/>
                <w:b/>
                <w:i w:val="false"/>
                <w:color w:val="000000"/>
                <w:sz w:val="16"/>
              </w:rPr>
              <w:t>BY MEDICARE</w:t>
            </w:r>
          </w:p>
          <w:p>
            <w:pPr>
              <w:spacing w:before="0" w:after="0"/>
              <w:ind w:left="160"/>
              <w:jc w:val="left"/>
            </w:pPr>
            <w:r>
              <w:rPr>
                <w:rFonts w:ascii="Times New Roman" w:hAnsi="Times New Roman"/>
                <w:b w:val="false"/>
                <w:i w:val="false"/>
                <w:color w:val="000000"/>
                <w:sz w:val="16"/>
              </w:rPr>
              <w:t>Medically necessary emergency care services beginning during the first 60 days of each trip outside the USA</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$250 each calendar year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charges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to a lifetime maximum benefit of $50,000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and amounts over the $50,000 lifetime maximum</w:t>
            </w:r>
          </w:p>
        </w:tc>
      </w:tr>
    </w:tbl>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N</w:t>
      </w:r>
    </w:p>
    <w:p>
      <w:pPr>
        <w:spacing w:before="0" w:after="0"/>
        <w:ind w:left="120"/>
        <w:jc w:val="center"/>
      </w:pPr>
      <w:r>
        <w:rPr>
          <w:rFonts w:ascii="Times New Roman" w:hAnsi="Times New Roman"/>
          <w:b w:val="false"/>
          <w:i w:val="false"/>
          <w:color w:val="000000"/>
          <w:sz w:val="22"/>
        </w:rPr>
        <w:t>MEDICARE (PART A)—HOSPITAL SERVICES—PER BENEFIT PERIOD</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58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HOSPITALIZATION</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Semiprivate room and board, general nursing and miscellaneous services and supplies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60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$[1364]</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$[1364] (Part A deductible)</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 61st through 90th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$[341]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$[341]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 91st day and after: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 —While using 60 lifetime reserve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$[682]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$[682]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 —Once lifetime reserve days are used: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  —Additional 365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Medicare eligible expenses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  —Beyond the additional 365 days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both"/>
            </w:pPr>
            <w:r>
              <w:rPr>
                <w:rFonts w:ascii="Times New Roman" w:hAnsi="Times New Roman"/>
                <w:b/>
                <w:i w:val="false"/>
                <w:color w:val="000000"/>
                <w:sz w:val="16"/>
              </w:rPr>
              <w:t>SKILLED NURSING FACILITY CARE</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You must meet Medicare’s requirements, including having been in a hospital for at least 3 days and entered a Medicare-approved facility within 30 days after leaving the hospital.</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20 days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approved amounts</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 21st through 100th day</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but $[170.50] a day</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$[170.50] a day</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 101st day and after</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pints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Additional amounts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106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HOSPICE CARE</w:t>
            </w:r>
          </w:p>
          <w:p>
            <w:pPr>
              <w:spacing w:before="0" w:after="0"/>
              <w:ind w:left="160"/>
              <w:jc w:val="left"/>
            </w:pPr>
            <w:r>
              <w:rPr>
                <w:rFonts w:ascii="Times New Roman" w:hAnsi="Times New Roman"/>
                <w:b w:val="false"/>
                <w:i w:val="false"/>
                <w:color w:val="000000"/>
                <w:sz w:val="16"/>
              </w:rPr>
              <w:t>You must meet Medicare’s requirements, including a doctor’s certification of terminal illness.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but very limited copayment/</w:t>
            </w:r>
            <w:r>
              <w:br/>
            </w:r>
            <w:r>
              <w:rPr>
                <w:rFonts w:ascii="Times New Roman" w:hAnsi="Times New Roman"/>
                <w:b w:val="false"/>
                <w:i w:val="false"/>
                <w:color w:val="000000"/>
                <w:sz w:val="16"/>
              </w:rPr>
              <w:t>coinsurance for outpatient drugs and inpatient respite care</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Medicare copayment/</w:t>
            </w:r>
            <w:r>
              <w:br/>
            </w:r>
            <w:r>
              <w:rPr>
                <w:rFonts w:ascii="Times New Roman" w:hAnsi="Times New Roman"/>
                <w:b w:val="false"/>
                <w:i w:val="false"/>
                <w:color w:val="000000"/>
                <w:sz w:val="16"/>
              </w:rPr>
              <w:t>coinsurance</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A benefit period begins on the first day you receive service as an inpatient in a hospital and ends after you have been out of the hospital and have not received skilled care in any other facility for 60 days in a row.</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NOTICE: When your Medicare Part A hospital benefits are exhausted, the insurance company stands in the place of Medicare and will pay whatever amount Medicare would have paid for up to an additional 365 days as provided in the policy’s basic core benefits (“basic core benefits” are the equivalent of what is provided under Medicare Part A). During this time, the hospital is prohibited from billing you for the balance based on any difference between its billed charges and the amount Medicare would have paid.</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N</w:t>
      </w:r>
    </w:p>
    <w:p>
      <w:pPr>
        <w:spacing w:before="0" w:after="0"/>
        <w:ind w:left="120"/>
        <w:jc w:val="center"/>
      </w:pPr>
      <w:r>
        <w:rPr>
          <w:rFonts w:ascii="Times New Roman" w:hAnsi="Times New Roman"/>
          <w:b w:val="false"/>
          <w:i w:val="false"/>
          <w:color w:val="000000"/>
          <w:sz w:val="22"/>
        </w:rPr>
        <w:t>MEDICARE (PART B)—MEDICAL SERVICES—PER CALENDAR YEAR</w:t>
      </w:r>
    </w:p>
    <w:p>
      <w:pPr>
        <w:spacing w:before="0" w:after="0"/>
        <w:ind w:left="120"/>
        <w:jc w:val="left"/>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9"/>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12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MEDICAL EXPENSES</w:t>
            </w:r>
            <w:r>
              <w:rPr>
                <w:rFonts w:ascii="Times New Roman" w:hAnsi="Times New Roman"/>
                <w:b w:val="false"/>
                <w:i w:val="false"/>
                <w:color w:val="000000"/>
                <w:sz w:val="16"/>
              </w:rPr>
              <w:t>—</w:t>
            </w:r>
          </w:p>
          <w:p>
            <w:pPr>
              <w:spacing w:before="0" w:after="0"/>
              <w:ind w:left="160"/>
              <w:jc w:val="left"/>
            </w:pPr>
            <w:r>
              <w:rPr>
                <w:rFonts w:ascii="Times New Roman" w:hAnsi="Times New Roman"/>
                <w:b w:val="false"/>
                <w:i w:val="false"/>
                <w:color w:val="000000"/>
                <w:sz w:val="16"/>
              </w:rPr>
              <w:t>IN OR OUT OF THE HOSPITAL AND OUTPATIENT HOSPITAL TREATMENT, such as physician’s services, inpatient and outpatient medical and surgical services and supplies, physical and speech therapy, diagnostic tests, durable medical equipment</w:t>
            </w:r>
          </w:p>
        </w:tc>
        <w:tc>
          <w:tcPr>
            <w:tcW w:w="234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First $[185] of Medicare-Approved Amounts*</w:t>
            </w:r>
          </w:p>
        </w:tc>
        <w:tc>
          <w:tcPr>
            <w:tcW w:w="234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17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Remainder of Medicare-Approved Amounts</w:t>
            </w:r>
          </w:p>
        </w:tc>
        <w:tc>
          <w:tcPr>
            <w:tcW w:w="2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Generally 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Balance, other than up to $[20] per office visit and up to $[50] per emergency room visit. The copayment of up to $[50] is waived if the insured individual is admitted to any hospital and the emergency visit is covered as a Medicare Part A expense.</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Up to $[20] per office visit and up to $[50] per emergency room visit. The copayment of up to $[50] is waived if the insured individual is admitted to any hospital and the emergency visit is covered as a Medicare Part A expense.</w:t>
            </w:r>
          </w:p>
        </w:tc>
      </w:tr>
      <w:tr>
        <w:trPr>
          <w:trHeight w:val="40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Part B Excess Charges</w:t>
            </w:r>
          </w:p>
          <w:p>
            <w:pPr>
              <w:spacing w:before="0" w:after="0"/>
              <w:ind w:left="160"/>
              <w:jc w:val="left"/>
            </w:pPr>
            <w:r>
              <w:rPr>
                <w:rFonts w:ascii="Times New Roman" w:hAnsi="Times New Roman"/>
                <w:b w:val="false"/>
                <w:i w:val="false"/>
                <w:color w:val="000000"/>
                <w:sz w:val="16"/>
              </w:rPr>
              <w:t>(Above Medicare-Approved Amounts)</w:t>
            </w:r>
          </w:p>
        </w:tc>
        <w:tc>
          <w:tcPr>
            <w:tcW w:w="234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bottom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All costs</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BLOOD</w:t>
            </w:r>
          </w:p>
        </w:tc>
        <w:tc>
          <w:tcPr>
            <w:tcW w:w="234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First 3 pints</w:t>
            </w:r>
          </w:p>
        </w:tc>
        <w:tc>
          <w:tcPr>
            <w:tcW w:w="234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All costs</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Next $[185] of Medicare-Approved Amounts*</w:t>
            </w:r>
          </w:p>
        </w:tc>
        <w:tc>
          <w:tcPr>
            <w:tcW w:w="2349"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$[185] (Part B deductible)</w:t>
            </w:r>
          </w:p>
        </w:tc>
      </w:tr>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Remainder of Medicare-Approved Amounts</w:t>
            </w:r>
          </w:p>
        </w:tc>
        <w:tc>
          <w:tcPr>
            <w:tcW w:w="234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CLINICAL LABORATORY SERVICES</w:t>
            </w:r>
            <w:r>
              <w:rPr>
                <w:rFonts w:ascii="Times New Roman" w:hAnsi="Times New Roman"/>
                <w:b w:val="false"/>
                <w:i w:val="false"/>
                <w:color w:val="000000"/>
                <w:sz w:val="16"/>
              </w:rPr>
              <w:t>— TESTS FOR DIAGNOSTIC SERVICES</w:t>
            </w:r>
          </w:p>
        </w:tc>
        <w:tc>
          <w:tcPr>
            <w:tcW w:w="234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pageBreakBefore/>
        <w:spacing w:before="0" w:after="0"/>
        <w:ind w:left="120"/>
        <w:jc w:val="left"/>
      </w:pPr>
    </w:p>
    <w:p>
      <w:pPr>
        <w:spacing w:before="0" w:after="0"/>
        <w:ind w:left="120"/>
        <w:jc w:val="center"/>
      </w:pPr>
      <w:r>
        <w:rPr>
          <w:rFonts w:ascii="Times New Roman" w:hAnsi="Times New Roman"/>
          <w:b w:val="false"/>
          <w:i w:val="false"/>
          <w:color w:val="000000"/>
          <w:sz w:val="22"/>
        </w:rPr>
        <w:t>PLAN N</w:t>
      </w:r>
    </w:p>
    <w:p>
      <w:pPr>
        <w:spacing w:before="0" w:after="0"/>
        <w:ind w:left="120"/>
        <w:jc w:val="center"/>
      </w:pPr>
      <w:r>
        <w:rPr>
          <w:rFonts w:ascii="Times New Roman" w:hAnsi="Times New Roman"/>
          <w:b w:val="false"/>
          <w:i w:val="false"/>
          <w:color w:val="000000"/>
          <w:sz w:val="22"/>
        </w:rPr>
        <w:t>PARTS A &amp; B</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40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HOME HEALTH CARE</w:t>
            </w:r>
          </w:p>
          <w:p>
            <w:pPr>
              <w:spacing w:before="0" w:after="0"/>
              <w:ind w:left="160"/>
              <w:jc w:val="left"/>
            </w:pPr>
            <w:r>
              <w:rPr>
                <w:rFonts w:ascii="Times New Roman" w:hAnsi="Times New Roman"/>
                <w:b w:val="false"/>
                <w:i w:val="false"/>
                <w:color w:val="000000"/>
                <w:sz w:val="16"/>
              </w:rPr>
              <w:t>MEDICARE-APPROVED SERVICES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—Medically necessary skilled care services and</w:t>
            </w:r>
          </w:p>
          <w:p>
            <w:pPr>
              <w:spacing w:before="0" w:after="0"/>
              <w:ind w:left="160"/>
              <w:jc w:val="left"/>
            </w:pPr>
            <w:r>
              <w:rPr>
                <w:rFonts w:ascii="Times New Roman" w:hAnsi="Times New Roman"/>
                <w:b w:val="false"/>
                <w:i w:val="false"/>
                <w:color w:val="000000"/>
                <w:sz w:val="16"/>
              </w:rPr>
              <w:t xml:space="preserve">medical supplies </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r>
        <w:trPr>
          <w:trHeight w:val="510"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—Durable medical equipment</w:t>
            </w:r>
          </w:p>
          <w:p>
            <w:pPr>
              <w:spacing w:before="0" w:after="0"/>
              <w:ind w:left="160"/>
              <w:jc w:val="left"/>
            </w:pPr>
            <w:r>
              <w:rPr>
                <w:rFonts w:ascii="Times New Roman" w:hAnsi="Times New Roman"/>
                <w:b w:val="false"/>
                <w:i w:val="false"/>
                <w:color w:val="000000"/>
                <w:sz w:val="16"/>
              </w:rPr>
              <w:t> </w:t>
            </w:r>
          </w:p>
          <w:p>
            <w:pPr>
              <w:spacing w:before="0" w:after="0"/>
              <w:ind w:left="160"/>
              <w:jc w:val="both"/>
            </w:pPr>
            <w:r>
              <w:rPr>
                <w:rFonts w:ascii="Times New Roman" w:hAnsi="Times New Roman"/>
                <w:b w:val="false"/>
                <w:i w:val="false"/>
                <w:color w:val="000000"/>
                <w:sz w:val="16"/>
              </w:rPr>
              <w:t>First $[185]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$[185] (Part B deductible)</w:t>
            </w:r>
          </w:p>
        </w:tc>
      </w:tr>
      <w:tr>
        <w:trPr>
          <w:trHeight w:val="225"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Medicare-Approved Amounts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r>
    </w:tbl>
    <w:p>
      <w:pPr>
        <w:spacing w:before="0" w:after="0"/>
        <w:ind w:left="120"/>
        <w:jc w:val="both"/>
      </w:pPr>
      <w:r>
        <w:rPr>
          <w:rFonts w:ascii="Times New Roman" w:hAnsi="Times New Roman"/>
          <w:b w:val="false"/>
          <w:i w:val="false"/>
          <w:color w:val="000000"/>
          <w:sz w:val="22"/>
        </w:rPr>
        <w:t>* Once you have been billed $[185] of Medicare-approved amounts for covered services, your Part B deductible will have been met for the calendar year.</w:t>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2"/>
        </w:rPr>
        <w:t>PLAN N</w:t>
      </w:r>
    </w:p>
    <w:p>
      <w:pPr>
        <w:spacing w:before="0" w:after="0"/>
        <w:ind w:left="120"/>
        <w:jc w:val="center"/>
      </w:pPr>
      <w:r>
        <w:rPr>
          <w:rFonts w:ascii="Times New Roman" w:hAnsi="Times New Roman"/>
          <w:b w:val="false"/>
          <w:i w:val="false"/>
          <w:color w:val="000000"/>
          <w:sz w:val="22"/>
        </w:rPr>
        <w:t>OTHER BENEFITS—NOT COVERED BY MEDICARE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747"/>
        <w:gridCol w:w="2347"/>
        <w:gridCol w:w="2213"/>
        <w:gridCol w:w="2213"/>
      </w:tblGrid>
      <w:tr>
        <w:trPr>
          <w:trHeight w:val="225" w:hRule="atLeast"/>
        </w:trPr>
        <w:tc>
          <w:tcPr>
            <w:tcW w:w="47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SERVICES</w:t>
            </w:r>
          </w:p>
        </w:tc>
        <w:tc>
          <w:tcPr>
            <w:tcW w:w="2347"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MEDICARE PAYS</w:t>
            </w:r>
          </w:p>
        </w:tc>
        <w:tc>
          <w:tcPr>
            <w:tcW w:w="2213"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PLAN PAYS</w:t>
            </w:r>
          </w:p>
        </w:tc>
        <w:tc>
          <w:tcPr>
            <w:tcW w:w="2213"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YOU PAY</w:t>
            </w:r>
          </w:p>
        </w:tc>
      </w:tr>
      <w:tr>
        <w:trPr>
          <w:trHeight w:val="945" w:hRule="atLeast"/>
        </w:trPr>
        <w:tc>
          <w:tcPr>
            <w:tcW w:w="4747"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i w:val="false"/>
                <w:color w:val="000000"/>
                <w:sz w:val="16"/>
              </w:rPr>
              <w:t>FOREIGN TRAVEL—NOT COVERED</w:t>
            </w:r>
          </w:p>
          <w:p>
            <w:pPr>
              <w:spacing w:before="0" w:after="0"/>
              <w:ind w:left="160"/>
              <w:jc w:val="left"/>
            </w:pPr>
            <w:r>
              <w:rPr>
                <w:rFonts w:ascii="Times New Roman" w:hAnsi="Times New Roman"/>
                <w:b/>
                <w:i w:val="false"/>
                <w:color w:val="000000"/>
                <w:sz w:val="16"/>
              </w:rPr>
              <w:t>BY MEDICARE</w:t>
            </w:r>
          </w:p>
          <w:p>
            <w:pPr>
              <w:spacing w:before="0" w:after="0"/>
              <w:ind w:left="160"/>
              <w:jc w:val="left"/>
            </w:pPr>
            <w:r>
              <w:rPr>
                <w:rFonts w:ascii="Times New Roman" w:hAnsi="Times New Roman"/>
                <w:b w:val="false"/>
                <w:i w:val="false"/>
                <w:color w:val="000000"/>
                <w:sz w:val="16"/>
              </w:rPr>
              <w:t>Medically necessary emergency care services beginning during the first 60 days of each trip outside the USA</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 First $250 each calendar year</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570" w:hRule="atLeast"/>
        </w:trPr>
        <w:tc>
          <w:tcPr>
            <w:tcW w:w="47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 Remainder of charges</w:t>
            </w:r>
          </w:p>
        </w:tc>
        <w:tc>
          <w:tcPr>
            <w:tcW w:w="2347"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w:t>
            </w:r>
          </w:p>
        </w:tc>
        <w:tc>
          <w:tcPr>
            <w:tcW w:w="2213"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80% to a lifetime maximum benefit of $50,000</w:t>
            </w:r>
          </w:p>
        </w:tc>
        <w:tc>
          <w:tcPr>
            <w:tcW w:w="221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and amounts over the $50,000 lifetime maximum</w:t>
            </w:r>
          </w:p>
        </w:tc>
      </w:tr>
    </w:tbl>
    <w:p>
      <w:pPr>
        <w:spacing w:before="0" w:after="0"/>
        <w:ind w:left="120"/>
        <w:jc w:val="center"/>
      </w:pPr>
      <w:r>
        <w:rPr>
          <w:rFonts w:ascii="Times New Roman" w:hAnsi="Times New Roman"/>
          <w:b w:val="false"/>
          <w:i w:val="false"/>
          <w:color w:val="000000"/>
          <w:sz w:val="22"/>
        </w:rPr>
        <w:t xml:space="preserve">APPENDIX F </w:t>
      </w:r>
    </w:p>
    <w:p>
      <w:pPr>
        <w:spacing w:before="0" w:after="0"/>
        <w:ind w:left="120"/>
        <w:jc w:val="center"/>
      </w:pPr>
      <w:r>
        <w:rPr>
          <w:rFonts w:ascii="Times New Roman" w:hAnsi="Times New Roman"/>
          <w:b w:val="false"/>
          <w:i w:val="false"/>
          <w:color w:val="000000"/>
          <w:sz w:val="22"/>
        </w:rPr>
        <w:t>FORM FOR REPORTING</w:t>
      </w:r>
    </w:p>
    <w:p>
      <w:pPr>
        <w:spacing w:before="0" w:after="0"/>
        <w:ind w:left="120"/>
        <w:jc w:val="center"/>
      </w:pPr>
      <w:r>
        <w:rPr>
          <w:rFonts w:ascii="Times New Roman" w:hAnsi="Times New Roman"/>
          <w:b w:val="false"/>
          <w:i w:val="false"/>
          <w:color w:val="000000"/>
          <w:sz w:val="22"/>
        </w:rPr>
        <w:t>MEDICARE SUPPLEMENT POLICIES OR CERTIFICATES</w:t>
      </w:r>
    </w:p>
    <w:p>
      <w:pPr>
        <w:spacing w:before="0" w:after="0"/>
        <w:ind w:left="120"/>
        <w:jc w:val="center"/>
      </w:pPr>
      <w:r>
        <w:rPr>
          <w:rFonts w:ascii="Times New Roman" w:hAnsi="Times New Roman"/>
          <w:b w:val="false"/>
          <w:i w:val="false"/>
          <w:color w:val="000000"/>
          <w:sz w:val="22"/>
        </w:rPr>
        <w:t xml:space="preserve">Pursuant to Iowa Administrative Code rule </w:t>
      </w:r>
      <w:hyperlink r:id="rId271">
        <w:r>
          <w:rPr>
            <w:rStyle w:val="Hyperlink"/>
            <w:rFonts w:ascii="Times New Roman" w:hAnsi="Times New Roman"/>
            <w:b w:val="false"/>
            <w:i w:val="false"/>
            <w:color w:val="000000"/>
            <w:sz w:val="22"/>
          </w:rPr>
          <w:t>191—37.32</w:t>
        </w:r>
      </w:hyperlink>
      <w:r>
        <w:rPr>
          <w:rFonts w:ascii="Times New Roman" w:hAnsi="Times New Roman"/>
          <w:b w:val="false"/>
          <w:i w:val="false"/>
          <w:color w:val="000000"/>
          <w:sz w:val="22"/>
        </w:rPr>
        <w:t>(514D)</w:t>
      </w:r>
    </w:p>
    <w:tbl>
      <w:tblPr>
        <w:tblW w:w="5000" w:type="pct"/>
        <w:tblCellSpacing w:w="0" w:type="auto"/>
        <w:tblBorders>
          <w:top w:val="none"/>
          <w:left w:val="none"/>
          <w:bottom w:val="none"/>
          <w:right w:val="none"/>
          <w:insideH w:val="none"/>
          <w:insideV w:val="none"/>
        </w:tblBorders>
        <w:tblLayout w:type="fixed"/>
      </w:tblPr>
      <w:tblGrid>
        <w:gridCol w:w="3929"/>
        <w:gridCol w:w="7261"/>
      </w:tblGrid>
      <w:tr>
        <w:trPr>
          <w:trHeight w:val="240" w:hRule="atLeast"/>
        </w:trPr>
        <w:tc>
          <w:tcPr>
            <w:tcW w:w="3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Company Name:</w:t>
            </w:r>
          </w:p>
        </w:tc>
        <w:tc>
          <w:tcPr>
            <w:tcW w:w="7261" w:type="dxa"/>
            <w:tcBorders/>
            <w:tcMar>
              <w:top w:w="30" w:type="dxa"/>
              <w:left w:w="30" w:type="dxa"/>
              <w:bottom w:w="15" w:type="dxa"/>
              <w:right w:w="30" w:type="dxa"/>
            </w:tcMar>
            <w:vAlign w:val="top"/>
          </w:tcPr>
          <w:p>
            <w:pPr>
              <w:spacing w:before="0" w:after="0"/>
              <w:ind w:left="0"/>
              <w:jc w:val="left"/>
            </w:pPr>
          </w:p>
        </w:tc>
      </w:tr>
      <w:tr>
        <w:trPr>
          <w:trHeight w:val="240" w:hRule="atLeast"/>
        </w:trPr>
        <w:tc>
          <w:tcPr>
            <w:tcW w:w="3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Address:</w:t>
            </w:r>
          </w:p>
        </w:tc>
        <w:tc>
          <w:tcPr>
            <w:tcW w:w="7261" w:type="dxa"/>
            <w:tcBorders/>
            <w:tcMar>
              <w:top w:w="30" w:type="dxa"/>
              <w:left w:w="30" w:type="dxa"/>
              <w:bottom w:w="15" w:type="dxa"/>
              <w:right w:w="30" w:type="dxa"/>
            </w:tcMar>
            <w:vAlign w:val="top"/>
          </w:tcPr>
          <w:p>
            <w:pPr>
              <w:spacing w:before="0" w:after="0"/>
              <w:ind w:left="0"/>
              <w:jc w:val="left"/>
            </w:pPr>
          </w:p>
        </w:tc>
      </w:tr>
      <w:tr>
        <w:trPr>
          <w:trHeight w:val="240" w:hRule="atLeast"/>
        </w:trPr>
        <w:tc>
          <w:tcPr>
            <w:tcW w:w="3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7261" w:type="dxa"/>
            <w:tcBorders/>
            <w:tcMar>
              <w:top w:w="30" w:type="dxa"/>
              <w:left w:w="30" w:type="dxa"/>
              <w:bottom w:w="15" w:type="dxa"/>
              <w:right w:w="30" w:type="dxa"/>
            </w:tcMar>
            <w:vAlign w:val="top"/>
          </w:tcPr>
          <w:p>
            <w:pPr>
              <w:spacing w:before="0" w:after="0"/>
              <w:ind w:left="0"/>
              <w:jc w:val="left"/>
            </w:pPr>
          </w:p>
        </w:tc>
      </w:tr>
      <w:tr>
        <w:trPr>
          <w:trHeight w:val="240" w:hRule="atLeast"/>
        </w:trPr>
        <w:tc>
          <w:tcPr>
            <w:tcW w:w="392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Phone Number:</w:t>
            </w:r>
          </w:p>
        </w:tc>
        <w:tc>
          <w:tcPr>
            <w:tcW w:w="7261" w:type="dxa"/>
            <w:tcBorders/>
            <w:tcMar>
              <w:top w:w="30" w:type="dxa"/>
              <w:left w:w="30" w:type="dxa"/>
              <w:bottom w:w="15" w:type="dxa"/>
              <w:right w:w="30" w:type="dxa"/>
            </w:tcMar>
            <w:vAlign w:val="top"/>
          </w:tcPr>
          <w:p>
            <w:pPr>
              <w:spacing w:before="0" w:after="0"/>
              <w:ind w:left="0"/>
              <w:jc w:val="left"/>
            </w:pPr>
          </w:p>
        </w:tc>
      </w:tr>
    </w:tbl>
    <w:p>
      <w:pPr>
        <w:spacing w:before="0" w:after="0"/>
        <w:ind w:left="120"/>
        <w:jc w:val="both"/>
      </w:pPr>
      <w:r>
        <w:rPr>
          <w:rFonts w:ascii="Times New Roman" w:hAnsi="Times New Roman"/>
          <w:b w:val="false"/>
          <w:i w:val="false"/>
          <w:color w:val="000000"/>
          <w:sz w:val="22"/>
        </w:rPr>
        <w:t xml:space="preserve"> Due March 1, annually</w:t>
      </w:r>
    </w:p>
    <w:p>
      <w:pPr>
        <w:spacing w:before="0" w:after="0"/>
        <w:ind w:left="120"/>
        <w:jc w:val="left"/>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The purpose of this form is to report the following information on each resident of this state who has in force more than one Medicare supplement policy or certificate. The information is to be grouped by covered individual.</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55" w:hRule="atLeast"/>
        </w:trPr>
        <w:tc>
          <w:tcPr>
            <w:tcW w:w="576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Policy and Certificate #</w:t>
            </w:r>
          </w:p>
        </w:tc>
        <w:tc>
          <w:tcPr>
            <w:tcW w:w="576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8"/>
              </w:rPr>
              <w:t>Date of Issuance</w:t>
            </w:r>
          </w:p>
        </w:tc>
      </w:tr>
      <w:tr>
        <w:trPr>
          <w:trHeight w:val="16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tc>
        <w:tc>
          <w:tcPr>
            <w:tcW w:w="5760" w:type="dxa"/>
            <w:tcBorders>
              <w:bottom w:val="single" w:color="000000" w:sz="8"/>
            </w:tcBorders>
            <w:tcMar>
              <w:top w:w="30" w:type="dxa"/>
              <w:left w:w="30" w:type="dxa"/>
              <w:bottom w:w="15" w:type="dxa"/>
              <w:right w:w="30" w:type="dxa"/>
            </w:tcMar>
            <w:vAlign w:val="top"/>
          </w:tcPr>
          <w:p/>
        </w:tc>
      </w:tr>
      <w:tr>
        <w:trPr>
          <w:trHeight w:val="16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tc>
        <w:tc>
          <w:tcPr>
            <w:tcW w:w="5760" w:type="dxa"/>
            <w:tcBorders>
              <w:bottom w:val="single" w:color="000000" w:sz="8"/>
            </w:tcBorders>
            <w:tcMar>
              <w:top w:w="30" w:type="dxa"/>
              <w:left w:w="30" w:type="dxa"/>
              <w:bottom w:w="15" w:type="dxa"/>
              <w:right w:w="30" w:type="dxa"/>
            </w:tcMar>
            <w:vAlign w:val="top"/>
          </w:tcPr>
          <w:p/>
        </w:tc>
      </w:tr>
      <w:tr>
        <w:trPr>
          <w:trHeight w:val="165"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tc>
        <w:tc>
          <w:tcPr>
            <w:tcW w:w="5760" w:type="dxa"/>
            <w:tcBorders>
              <w:bottom w:val="single" w:color="000000" w:sz="8"/>
            </w:tcBorders>
            <w:tcMar>
              <w:top w:w="30" w:type="dxa"/>
              <w:left w:w="30" w:type="dxa"/>
              <w:bottom w:w="15" w:type="dxa"/>
              <w:right w:w="30" w:type="dxa"/>
            </w:tcMar>
            <w:vAlign w:val="top"/>
          </w:tcPr>
          <w:p/>
        </w:tc>
      </w:tr>
      <w:tr>
        <w:trPr>
          <w:trHeight w:val="165" w:hRule="atLeast"/>
        </w:trPr>
        <w:tc>
          <w:tcPr>
            <w:tcW w:w="5760"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8"/>
              </w:rPr>
              <w:t> </w:t>
            </w:r>
          </w:p>
        </w:tc>
        <w:tc>
          <w:tcPr>
            <w:tcW w:w="5760" w:type="dxa"/>
            <w:tcBorders/>
            <w:tcMar>
              <w:top w:w="30" w:type="dxa"/>
              <w:left w:w="30" w:type="dxa"/>
              <w:bottom w:w="15" w:type="dxa"/>
              <w:right w:w="30" w:type="dxa"/>
            </w:tcMar>
            <w:vAlign w:val="top"/>
          </w:tcPr>
          <w:p/>
        </w:tc>
      </w:tr>
    </w:tbl>
    <w:tbl>
      <w:tblPr>
        <w:tblW w:w="5000" w:type="pct"/>
        <w:tblCellSpacing w:w="0" w:type="auto"/>
        <w:tblBorders>
          <w:top w:val="none"/>
          <w:left w:val="none"/>
          <w:bottom w:val="none"/>
          <w:right w:val="none"/>
          <w:insideH w:val="none"/>
          <w:insideV w:val="none"/>
        </w:tblBorders>
        <w:tblLayout w:type="fixed"/>
      </w:tblPr>
      <w:tblGrid>
        <w:gridCol w:w="5595"/>
        <w:gridCol w:w="5594"/>
      </w:tblGrid>
      <w:tr>
        <w:trPr>
          <w:trHeight w:val="24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5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Signature</w:t>
            </w:r>
          </w:p>
        </w:tc>
      </w:tr>
      <w:tr>
        <w:trPr>
          <w:trHeight w:val="24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5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Name and Title (please type)</w:t>
            </w:r>
          </w:p>
        </w:tc>
      </w:tr>
      <w:tr>
        <w:trPr>
          <w:trHeight w:val="24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59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r>
      <w:tr>
        <w:trPr>
          <w:trHeight w:val="240"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559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Date</w:t>
            </w:r>
          </w:p>
        </w:tc>
      </w:tr>
    </w:tbl>
    <w:p>
      <w:pPr>
        <w:spacing w:before="0" w:after="0"/>
        <w:ind w:left="120"/>
        <w:jc w:val="center"/>
      </w:pPr>
      <w:r>
        <w:rPr>
          <w:rFonts w:ascii="Times New Roman" w:hAnsi="Times New Roman"/>
          <w:b w:val="false"/>
          <w:i w:val="false"/>
          <w:color w:val="000000"/>
          <w:sz w:val="21"/>
        </w:rPr>
        <w:t>[Filed 11/5/81, Notice 9/2/81—published 11/25/81, effective 12/31/81</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[Editorially transferred from [510] to [191] IAC Supp. 10/22/86; see </w:t>
      </w:r>
      <w:r>
        <w:rPr>
          <w:rFonts w:ascii="Times New Roman" w:hAnsi="Times New Roman"/>
          <w:b w:val="false"/>
          <w:i w:val="false"/>
          <w:color w:val="000000"/>
          <w:sz w:val="21"/>
        </w:rPr>
        <w:t>IAB 7/30/86</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12/9/88—published 12/28/88, effective 12/31/88]</w:t>
      </w:r>
    </w:p>
    <w:p>
      <w:pPr>
        <w:spacing w:before="0" w:after="0"/>
        <w:ind w:left="120"/>
        <w:jc w:val="center"/>
      </w:pPr>
      <w:r>
        <w:rPr>
          <w:rFonts w:ascii="Times New Roman" w:hAnsi="Times New Roman"/>
          <w:b w:val="false"/>
          <w:i w:val="false"/>
          <w:color w:val="000000"/>
          <w:sz w:val="21"/>
        </w:rPr>
        <w:t>[Filed 8/31/90, Notice 7/25/90—published 9/19/90, effective 12/1/90]</w:t>
      </w:r>
    </w:p>
    <w:p>
      <w:pPr>
        <w:spacing w:before="0" w:after="0"/>
        <w:ind w:left="120"/>
        <w:jc w:val="center"/>
      </w:pPr>
      <w:r>
        <w:rPr>
          <w:rFonts w:ascii="Times New Roman" w:hAnsi="Times New Roman"/>
          <w:b w:val="false"/>
          <w:i w:val="false"/>
          <w:color w:val="000000"/>
          <w:sz w:val="21"/>
        </w:rPr>
        <w:t>[Filed emergency 1/18/91—published 2/6/91, effective 1/18/91]</w:t>
      </w:r>
    </w:p>
    <w:p>
      <w:pPr>
        <w:spacing w:before="0" w:after="0"/>
        <w:ind w:left="120"/>
        <w:jc w:val="center"/>
      </w:pPr>
      <w:r>
        <w:rPr>
          <w:rFonts w:ascii="Times New Roman" w:hAnsi="Times New Roman"/>
          <w:b w:val="false"/>
          <w:i w:val="false"/>
          <w:color w:val="000000"/>
          <w:sz w:val="21"/>
        </w:rPr>
        <w:t>[Filed 4/26/91, Notice 2/6/91—published 5/15/91, effective 6/19/91]</w:t>
      </w:r>
    </w:p>
    <w:p>
      <w:pPr>
        <w:spacing w:before="0" w:after="0"/>
        <w:ind w:left="120"/>
        <w:jc w:val="center"/>
      </w:pPr>
      <w:r>
        <w:rPr>
          <w:rFonts w:ascii="Times New Roman" w:hAnsi="Times New Roman"/>
          <w:b w:val="false"/>
          <w:i w:val="false"/>
          <w:color w:val="000000"/>
          <w:sz w:val="21"/>
        </w:rPr>
        <w:t>[Filed 10/25/91, Notice 9/18/91—published 11/13/91, effective1/1/92]</w:t>
      </w:r>
    </w:p>
    <w:p>
      <w:pPr>
        <w:spacing w:before="0" w:after="0"/>
        <w:ind w:left="120"/>
        <w:jc w:val="center"/>
      </w:pPr>
      <w:r>
        <w:rPr>
          <w:rFonts w:ascii="Times New Roman" w:hAnsi="Times New Roman"/>
          <w:b w:val="false"/>
          <w:i w:val="false"/>
          <w:color w:val="000000"/>
          <w:sz w:val="21"/>
        </w:rPr>
        <w:t>[Filed 6/4/92, Notice 4/1/92—published 6/24/92, effective 7/29/92]</w:t>
      </w:r>
    </w:p>
    <w:p>
      <w:pPr>
        <w:spacing w:before="0" w:after="0"/>
        <w:ind w:left="120"/>
        <w:jc w:val="center"/>
      </w:pPr>
      <w:r>
        <w:rPr>
          <w:rFonts w:ascii="Times New Roman" w:hAnsi="Times New Roman"/>
          <w:b w:val="false"/>
          <w:i w:val="false"/>
          <w:color w:val="000000"/>
          <w:sz w:val="21"/>
        </w:rPr>
        <w:t>[Filed 5/2/94, Notice 3/16/94—published 5/25/94, effective 7/1/94]</w:t>
      </w:r>
    </w:p>
    <w:p>
      <w:pPr>
        <w:spacing w:before="0" w:after="0"/>
        <w:ind w:left="120"/>
        <w:jc w:val="center"/>
      </w:pPr>
      <w:r>
        <w:rPr>
          <w:rFonts w:ascii="Times New Roman" w:hAnsi="Times New Roman"/>
          <w:b w:val="false"/>
          <w:i w:val="false"/>
          <w:color w:val="000000"/>
          <w:sz w:val="21"/>
        </w:rPr>
        <w:t>[Filed 2/8/96, Notice 1/3/96—published 2/28/96, effective 4/3/96]</w:t>
      </w:r>
    </w:p>
    <w:p>
      <w:pPr>
        <w:spacing w:before="0" w:after="0"/>
        <w:ind w:left="120"/>
        <w:jc w:val="center"/>
      </w:pPr>
      <w:r>
        <w:rPr>
          <w:rFonts w:ascii="Times New Roman" w:hAnsi="Times New Roman"/>
          <w:b w:val="false"/>
          <w:i w:val="false"/>
          <w:color w:val="000000"/>
          <w:sz w:val="21"/>
        </w:rPr>
        <w:t>[Filed without Notice 5/14/96—published 6/5/96, effective 7/10/96]</w:t>
      </w:r>
    </w:p>
    <w:p>
      <w:pPr>
        <w:spacing w:before="0" w:after="0"/>
        <w:ind w:left="120"/>
        <w:jc w:val="center"/>
      </w:pPr>
      <w:r>
        <w:rPr>
          <w:rFonts w:ascii="Times New Roman" w:hAnsi="Times New Roman"/>
          <w:b w:val="false"/>
          <w:i w:val="false"/>
          <w:color w:val="000000"/>
          <w:sz w:val="21"/>
        </w:rPr>
        <w:t>[Filed emergency 8/18/98—published 9/9/98, effective 8/18/98]</w:t>
      </w:r>
    </w:p>
    <w:p>
      <w:pPr>
        <w:spacing w:before="0" w:after="0"/>
        <w:ind w:left="120"/>
        <w:jc w:val="center"/>
      </w:pPr>
      <w:r>
        <w:rPr>
          <w:rFonts w:ascii="Times New Roman" w:hAnsi="Times New Roman"/>
          <w:b w:val="false"/>
          <w:i w:val="false"/>
          <w:color w:val="000000"/>
          <w:sz w:val="21"/>
        </w:rPr>
        <w:t>[Filed emergency 2/3/99—published 2/24/99, effective 2/3/99]</w:t>
      </w:r>
    </w:p>
    <w:p>
      <w:pPr>
        <w:spacing w:before="0" w:after="0"/>
        <w:ind w:left="120"/>
        <w:jc w:val="center"/>
      </w:pPr>
      <w:r>
        <w:rPr>
          <w:rFonts w:ascii="Times New Roman" w:hAnsi="Times New Roman"/>
          <w:b w:val="false"/>
          <w:i w:val="false"/>
          <w:color w:val="000000"/>
          <w:sz w:val="21"/>
        </w:rPr>
        <w:t>[Filed emergency 1/5/01—published 1/24/01, effective 1/5/01]</w:t>
      </w:r>
    </w:p>
    <w:p>
      <w:pPr>
        <w:spacing w:before="0" w:after="0"/>
        <w:ind w:left="120"/>
        <w:jc w:val="center"/>
      </w:pPr>
      <w:r>
        <w:rPr>
          <w:rFonts w:ascii="Times New Roman" w:hAnsi="Times New Roman"/>
          <w:b w:val="false"/>
          <w:i w:val="false"/>
          <w:color w:val="000000"/>
          <w:sz w:val="21"/>
        </w:rPr>
        <w:t>[Filed 11/21/01, Notice 10/17/01—published 12/12/01, effective 1/16/02]</w:t>
      </w:r>
    </w:p>
    <w:p>
      <w:pPr>
        <w:spacing w:before="0" w:after="0"/>
        <w:ind w:left="120"/>
        <w:jc w:val="center"/>
      </w:pPr>
      <w:r>
        <w:rPr>
          <w:rFonts w:ascii="Times New Roman" w:hAnsi="Times New Roman"/>
          <w:b w:val="false"/>
          <w:i w:val="false"/>
          <w:color w:val="000000"/>
          <w:sz w:val="21"/>
        </w:rPr>
        <w:t>[Filed 12/15/04, Notice 10/27/04—published 1/5/05, effective 2/9/05]</w:t>
      </w:r>
    </w:p>
    <w:p>
      <w:pPr>
        <w:spacing w:before="0" w:after="0"/>
        <w:ind w:left="120"/>
        <w:jc w:val="center"/>
      </w:pPr>
      <w:r>
        <w:rPr>
          <w:rFonts w:ascii="Times New Roman" w:hAnsi="Times New Roman"/>
          <w:b w:val="false"/>
          <w:i w:val="false"/>
          <w:color w:val="000000"/>
          <w:sz w:val="21"/>
        </w:rPr>
        <w:t>[Filed without Notice 2/11/05—published 3/2/05, effective 4/6/05]</w:t>
      </w:r>
    </w:p>
    <w:p>
      <w:pPr>
        <w:spacing w:before="0" w:after="0"/>
        <w:ind w:left="120"/>
        <w:jc w:val="center"/>
      </w:pPr>
      <w:r>
        <w:rPr>
          <w:rFonts w:ascii="Times New Roman" w:hAnsi="Times New Roman"/>
          <w:b w:val="false"/>
          <w:i w:val="false"/>
          <w:color w:val="000000"/>
          <w:sz w:val="21"/>
        </w:rPr>
        <w:t>[Filed 3/9/07, Notice 1/31/07—published 3/28/07, effective 5/2/07]</w:t>
      </w:r>
    </w:p>
    <w:p>
      <w:pPr>
        <w:spacing w:before="0" w:after="0"/>
        <w:ind w:left="120"/>
        <w:jc w:val="center"/>
      </w:pPr>
      <w:r>
        <w:rPr>
          <w:rFonts w:ascii="Times New Roman" w:hAnsi="Times New Roman"/>
          <w:b w:val="false"/>
          <w:i w:val="false"/>
          <w:color w:val="000000"/>
          <w:sz w:val="21"/>
        </w:rPr>
        <w:t>[Filed ARC 7964B</w:t>
      </w:r>
      <w:r>
        <w:rPr>
          <w:rFonts w:ascii="Times New Roman" w:hAnsi="Times New Roman"/>
          <w:b w:val="false"/>
          <w:i w:val="false"/>
          <w:color w:val="000000"/>
          <w:sz w:val="21"/>
        </w:rPr>
        <w:t xml:space="preserve"> (Notice ARC 7795B, IAB 5/20/09)</w:t>
      </w:r>
      <w:r>
        <w:rPr>
          <w:rFonts w:ascii="Times New Roman" w:hAnsi="Times New Roman"/>
          <w:b w:val="false"/>
          <w:i w:val="false"/>
          <w:color w:val="000000"/>
          <w:sz w:val="21"/>
        </w:rPr>
        <w:t>, IAB 7/15/09, effective 8/19/09]</w:t>
      </w:r>
    </w:p>
    <w:p>
      <w:pPr>
        <w:spacing w:before="0" w:after="0"/>
        <w:ind w:left="120"/>
        <w:jc w:val="center"/>
      </w:pPr>
      <w:r>
        <w:rPr>
          <w:rFonts w:ascii="Times New Roman" w:hAnsi="Times New Roman"/>
          <w:b w:val="false"/>
          <w:i w:val="false"/>
          <w:color w:val="000000"/>
          <w:sz w:val="21"/>
        </w:rPr>
        <w:t>[Filed ARC 3682C</w:t>
      </w:r>
      <w:r>
        <w:rPr>
          <w:rFonts w:ascii="Times New Roman" w:hAnsi="Times New Roman"/>
          <w:b w:val="false"/>
          <w:i w:val="false"/>
          <w:color w:val="000000"/>
          <w:sz w:val="21"/>
        </w:rPr>
        <w:t xml:space="preserve"> (Notice ARC 3571C, IAB 1/17/18)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4394C</w:t>
      </w:r>
      <w:r>
        <w:rPr>
          <w:rFonts w:ascii="Times New Roman" w:hAnsi="Times New Roman"/>
          <w:b w:val="false"/>
          <w:i w:val="false"/>
          <w:color w:val="000000"/>
          <w:sz w:val="21"/>
        </w:rPr>
        <w:t xml:space="preserve"> (Notice ARC 4282C, IAB 2/13/19)</w:t>
      </w:r>
      <w:r>
        <w:rPr>
          <w:rFonts w:ascii="Times New Roman" w:hAnsi="Times New Roman"/>
          <w:b w:val="false"/>
          <w:i w:val="false"/>
          <w:color w:val="000000"/>
          <w:sz w:val="21"/>
        </w:rPr>
        <w:t>, IAB 4/10/19, effective 5/15/19]</w:t>
      </w:r>
    </w:p>
    <w:p>
      <w:pPr>
        <w:pBdr>
          <w:bottom w:space="2"/>
        </w:pBdr>
        <w:spacing w:before="0" w:after="0"/>
        <w:ind w:left="120"/>
        <w:jc w:val="both"/>
      </w:pPr>
      <w:r>
        <w:rPr>
          <w:rFonts w:ascii="Times New Roman" w:hAnsi="Times New Roman"/>
          <w:b w:val="false"/>
          <w:i w:val="false"/>
          <w:color w:val="000000"/>
          <w:sz w:val="22"/>
        </w:rPr>
        <w:t>Effective date of 12/31/81 delayed 70 days by Administrative Rules Review Committee.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D.pdf" Type="http://schemas.openxmlformats.org/officeDocument/2006/relationships/hyperlink" Id="rId5"/>
    <Relationship TargetMode="External" Target="https://www.legis.iowa.gov/docs/iac/rule/191.37.6.pdf" Type="http://schemas.openxmlformats.org/officeDocument/2006/relationships/hyperlink" Id="rId6"/>
    <Relationship TargetMode="External" Target="https://www.legis.iowa.gov/docs/iac/rule/191.37.22.pdf" Type="http://schemas.openxmlformats.org/officeDocument/2006/relationships/hyperlink" Id="rId7"/>
    <Relationship TargetMode="External" Target="https://www.legis.iowa.gov/docs/iac/rule/191.37.23.pdf" Type="http://schemas.openxmlformats.org/officeDocument/2006/relationships/hyperlink" Id="rId8"/>
    <Relationship TargetMode="External" Target="https://www.legis.iowa.gov/docs/iac/rule/191.37.28.pdf" Type="http://schemas.openxmlformats.org/officeDocument/2006/relationships/hyperlink" Id="rId9"/>
    <Relationship TargetMode="External" Target="https://www.legis.iowa.gov/docs/iac/rule/191.37.32.pdf" Type="http://schemas.openxmlformats.org/officeDocument/2006/relationships/hyperlink" Id="rId10"/>
    <Relationship TargetMode="External" Target="https://www.legis.iowa.gov/docs/iac/rule/191.37.23.pdf" Type="http://schemas.openxmlformats.org/officeDocument/2006/relationships/hyperlink" Id="rId11"/>
    <Relationship TargetMode="External" Target="https://www.legis.iowa.gov/docs/iac/rule/191.37.26.pdf" Type="http://schemas.openxmlformats.org/officeDocument/2006/relationships/hyperlink" Id="rId12"/>
    <Relationship TargetMode="External" Target="https://www.legis.iowa.gov/docs/iac/rule/191.37.27.pdf" Type="http://schemas.openxmlformats.org/officeDocument/2006/relationships/hyperlink" Id="rId13"/>
    <Relationship TargetMode="External" Target="https://www.legis.iowa.gov/docs/iac/rule/191.37.27.pdf" Type="http://schemas.openxmlformats.org/officeDocument/2006/relationships/hyperlink" Id="rId14"/>
    <Relationship TargetMode="External" Target="https://www.legis.iowa.gov/docs/iac/rule/191.37.27.pdf" Type="http://schemas.openxmlformats.org/officeDocument/2006/relationships/hyperlink" Id="rId15"/>
    <Relationship TargetMode="External" Target="https://www.legis.iowa.gov/docs/iac/rule/191.37.27.pdf" Type="http://schemas.openxmlformats.org/officeDocument/2006/relationships/hyperlink" Id="rId16"/>
    <Relationship TargetMode="External" Target="https://www.legis.iowa.gov/docs/iac/rule/191.37.28.pdf" Type="http://schemas.openxmlformats.org/officeDocument/2006/relationships/hyperlink" Id="rId17"/>
    <Relationship TargetMode="External" Target="https://www.legis.iowa.gov/docs/iac/rule/191.37.32.pdf" Type="http://schemas.openxmlformats.org/officeDocument/2006/relationships/hyperlink" Id="rId18"/>
    <Relationship TargetMode="External" Target="https://www.legis.iowa.gov/docs/ico/chapter/514D.2.pdf" Type="http://schemas.openxmlformats.org/officeDocument/2006/relationships/hyperlink" Id="rId19"/>
    <Relationship TargetMode="External" Target="https://www.legis.iowa.gov/docs/iac/rule/191.37.7.pdf" Type="http://schemas.openxmlformats.org/officeDocument/2006/relationships/hyperlink" Id="rId20"/>
    <Relationship TargetMode="External" Target="https://www.legis.iowa.gov/docs/iac/rule/191.37.8.pdf" Type="http://schemas.openxmlformats.org/officeDocument/2006/relationships/hyperlink" Id="rId21"/>
    <Relationship TargetMode="External" Target="https://www.legis.iowa.gov/docs/iac/rule/191.37.9.pdf" Type="http://schemas.openxmlformats.org/officeDocument/2006/relationships/hyperlink" Id="rId22"/>
    <Relationship TargetMode="External" Target="https://www.legis.iowa.gov/docs/ico/chapter/514D.2.pdf" Type="http://schemas.openxmlformats.org/officeDocument/2006/relationships/hyperlink" Id="rId23"/>
    <Relationship TargetMode="External" Target="https://www.legis.iowa.gov/docs/iac/rule/191.37.20.pdf" Type="http://schemas.openxmlformats.org/officeDocument/2006/relationships/hyperlink" Id="rId24"/>
    <Relationship TargetMode="External" Target="https://www.serff.com" Type="http://schemas.openxmlformats.org/officeDocument/2006/relationships/hyperlink" Id="rId25"/>
    <Relationship TargetMode="External" Target="http://iid.iowa.gov" Type="http://schemas.openxmlformats.org/officeDocument/2006/relationships/hyperlink" Id="rId26"/>
    <Relationship TargetMode="External" Target="https://www.legis.iowa.gov/docs/iac/rule/191.37.20.pdf" Type="http://schemas.openxmlformats.org/officeDocument/2006/relationships/hyperlink" Id="rId27"/>
    <Relationship TargetMode="External" Target="https://www.legis.iowa.gov/docs/iac/rule/441.88.21.pdf" Type="http://schemas.openxmlformats.org/officeDocument/2006/relationships/hyperlink" Id="rId28"/>
    <Relationship TargetMode="External" Target="https://www.legis.iowa.gov/docs/iac/rule/441.88.28.pdf" Type="http://schemas.openxmlformats.org/officeDocument/2006/relationships/hyperlink" Id="rId29"/>
    <Relationship TargetMode="External" Target="https://www.legis.iowa.gov/docs/ico/chapter/514D.2.pdf" Type="http://schemas.openxmlformats.org/officeDocument/2006/relationships/hyperlink" Id="rId30"/>
    <Relationship TargetMode="External" Target="https://www.legis.iowa.gov/docs/ico/chapter/514D.2.pdf" Type="http://schemas.openxmlformats.org/officeDocument/2006/relationships/hyperlink" Id="rId31"/>
    <Relationship TargetMode="External" Target="https://www.legis.iowa.gov/docs/ico/chapter/522B.pdf" Type="http://schemas.openxmlformats.org/officeDocument/2006/relationships/hyperlink" Id="rId32"/>
    <Relationship TargetMode="External" Target="https://www.legis.iowa.gov/docs/iac/chapter/191.10.pdf" Type="http://schemas.openxmlformats.org/officeDocument/2006/relationships/hyperlink" Id="rId33"/>
    <Relationship TargetMode="External" Target="https://www.legis.iowa.gov/docs/iac/rule/191.37.9.pdf" Type="http://schemas.openxmlformats.org/officeDocument/2006/relationships/hyperlink" Id="rId34"/>
    <Relationship TargetMode="External" Target="https://www.legis.iowa.gov/docs/iac/rule/191.37.6.pdf" Type="http://schemas.openxmlformats.org/officeDocument/2006/relationships/hyperlink" Id="rId35"/>
    <Relationship TargetMode="External" Target="https://www.legis.iowa.gov/docs/iac/rule/191.37.7.pdf" Type="http://schemas.openxmlformats.org/officeDocument/2006/relationships/hyperlink" Id="rId36"/>
    <Relationship TargetMode="External" Target="https://www.legis.iowa.gov/docs/iac/rule/191.37.8.pdf" Type="http://schemas.openxmlformats.org/officeDocument/2006/relationships/hyperlink" Id="rId37"/>
    <Relationship TargetMode="External" Target="https://www.legis.iowa.gov/docs/iac/rule/191.37.6.pdf" Type="http://schemas.openxmlformats.org/officeDocument/2006/relationships/hyperlink" Id="rId38"/>
    <Relationship TargetMode="External" Target="https://www.legis.iowa.gov/docs/iac/rule/191.37.7.pdf" Type="http://schemas.openxmlformats.org/officeDocument/2006/relationships/hyperlink" Id="rId39"/>
    <Relationship TargetMode="External" Target="https://www.legis.iowa.gov/docs/iac/rule/191.37.6.pdf" Type="http://schemas.openxmlformats.org/officeDocument/2006/relationships/hyperlink" Id="rId40"/>
    <Relationship TargetMode="External" Target="https://www.legis.iowa.gov/docs/iac/rule/191.37.7.pdf" Type="http://schemas.openxmlformats.org/officeDocument/2006/relationships/hyperlink" Id="rId41"/>
    <Relationship TargetMode="External" Target="https://www.legis.iowa.gov/docs/iac/rule/191.37.6.pdf" Type="http://schemas.openxmlformats.org/officeDocument/2006/relationships/hyperlink" Id="rId42"/>
    <Relationship TargetMode="External" Target="https://www.legis.iowa.gov/docs/iac/rule/191.37.6.pdf" Type="http://schemas.openxmlformats.org/officeDocument/2006/relationships/hyperlink" Id="rId43"/>
    <Relationship TargetMode="External" Target="https://www.legis.iowa.gov/docs/iac/rule/191.37.7.pdf" Type="http://schemas.openxmlformats.org/officeDocument/2006/relationships/hyperlink" Id="rId44"/>
    <Relationship TargetMode="External" Target="https://www.legis.iowa.gov/docs/iac/rule/191.37.20.pdf" Type="http://schemas.openxmlformats.org/officeDocument/2006/relationships/hyperlink" Id="rId45"/>
    <Relationship TargetMode="External" Target="https://www.legis.iowa.gov/docs/iac/rule/191.37.7.pdf" Type="http://schemas.openxmlformats.org/officeDocument/2006/relationships/hyperlink" Id="rId46"/>
    <Relationship TargetMode="External" Target="https://www.legis.iowa.gov/docs/iac/rule/191.37.3.pdf" Type="http://schemas.openxmlformats.org/officeDocument/2006/relationships/hyperlink" Id="rId47"/>
    <Relationship TargetMode="External" Target="https://www.legis.iowa.gov/docs/iac/rule/191.37.4.pdf" Type="http://schemas.openxmlformats.org/officeDocument/2006/relationships/hyperlink" Id="rId48"/>
    <Relationship TargetMode="External" Target="https://www.legis.iowa.gov/docs/iac/rule/191.37.7.pdf" Type="http://schemas.openxmlformats.org/officeDocument/2006/relationships/hyperlink" Id="rId49"/>
    <Relationship TargetMode="External" Target="https://www.legis.iowa.gov/docs/iac/rule/191.37.7.pdf" Type="http://schemas.openxmlformats.org/officeDocument/2006/relationships/hyperlink" Id="rId50"/>
    <Relationship TargetMode="External" Target="https://www.legis.iowa.gov/docs/iac/rule/191.37.7.pdf" Type="http://schemas.openxmlformats.org/officeDocument/2006/relationships/hyperlink" Id="rId51"/>
    <Relationship TargetMode="External" Target="https://www.legis.iowa.gov/docs/iac/rule/191.37.7.pdf" Type="http://schemas.openxmlformats.org/officeDocument/2006/relationships/hyperlink" Id="rId52"/>
    <Relationship TargetMode="External" Target="https://www.legis.iowa.gov/docs/iac/rule/191.37.8.pdf" Type="http://schemas.openxmlformats.org/officeDocument/2006/relationships/hyperlink" Id="rId53"/>
    <Relationship TargetMode="External" Target="https://www.legis.iowa.gov/docs/iac/chapter/191.16.pdf" Type="http://schemas.openxmlformats.org/officeDocument/2006/relationships/hyperlink" Id="rId54"/>
    <Relationship TargetMode="External" Target="https://www.legis.iowa.gov/docs/iac/rule/191.37.27.pdf" Type="http://schemas.openxmlformats.org/officeDocument/2006/relationships/hyperlink" Id="rId55"/>
    <Relationship TargetMode="External" Target="https://www.legis.iowa.gov/docs/iac/rule/191.37.24.pdf" Type="http://schemas.openxmlformats.org/officeDocument/2006/relationships/hyperlink" Id="rId56"/>
    <Relationship TargetMode="External" Target="https://www.legis.iowa.gov/docs/iac/rule/191.37.7.pdf" Type="http://schemas.openxmlformats.org/officeDocument/2006/relationships/hyperlink" Id="rId57"/>
    <Relationship TargetMode="External" Target="https://www.legis.iowa.gov/docs/iac/rule/191.37.7.pdf" Type="http://schemas.openxmlformats.org/officeDocument/2006/relationships/hyperlink" Id="rId58"/>
    <Relationship TargetMode="External" Target="https://www.legis.iowa.gov/docs/iac/rule/191.37.7.pdf" Type="http://schemas.openxmlformats.org/officeDocument/2006/relationships/hyperlink" Id="rId59"/>
    <Relationship TargetMode="External" Target="https://www.legis.iowa.gov/docs/iac/rule/191.37.7.pdf" Type="http://schemas.openxmlformats.org/officeDocument/2006/relationships/hyperlink" Id="rId60"/>
    <Relationship TargetMode="External" Target="https://www.legis.iowa.gov/docs/iac/rule/191.37.7.pdf" Type="http://schemas.openxmlformats.org/officeDocument/2006/relationships/hyperlink" Id="rId61"/>
    <Relationship TargetMode="External" Target="https://www.legis.iowa.gov/docs/iac/rule/191.37.7.pdf" Type="http://schemas.openxmlformats.org/officeDocument/2006/relationships/hyperlink" Id="rId62"/>
    <Relationship TargetMode="External" Target="https://www.legis.iowa.gov/docs/iac/rule/191.37.7.pdf" Type="http://schemas.openxmlformats.org/officeDocument/2006/relationships/hyperlink" Id="rId63"/>
    <Relationship TargetMode="External" Target="https://www.legis.iowa.gov/docs/iac/rule/191.37.7.pdf" Type="http://schemas.openxmlformats.org/officeDocument/2006/relationships/hyperlink" Id="rId64"/>
    <Relationship TargetMode="External" Target="https://www.legis.iowa.gov/docs/iac/rule/191.37.7.pdf" Type="http://schemas.openxmlformats.org/officeDocument/2006/relationships/hyperlink" Id="rId65"/>
    <Relationship TargetMode="External" Target="https://www.legis.iowa.gov/docs/iac/rule/191.37.7.pdf" Type="http://schemas.openxmlformats.org/officeDocument/2006/relationships/hyperlink" Id="rId66"/>
    <Relationship TargetMode="External" Target="https://www.legis.iowa.gov/docs/iac/rule/191.37.7.pdf" Type="http://schemas.openxmlformats.org/officeDocument/2006/relationships/hyperlink" Id="rId67"/>
    <Relationship TargetMode="External" Target="https://www.legis.iowa.gov/docs/iac/rule/191.37.7.pdf" Type="http://schemas.openxmlformats.org/officeDocument/2006/relationships/hyperlink" Id="rId68"/>
    <Relationship TargetMode="External" Target="https://www.legis.iowa.gov/docs/iac/rule/191.37.7.pdf" Type="http://schemas.openxmlformats.org/officeDocument/2006/relationships/hyperlink" Id="rId69"/>
    <Relationship TargetMode="External" Target="https://www.legis.iowa.gov/docs/iac/rule/191.37.7.pdf" Type="http://schemas.openxmlformats.org/officeDocument/2006/relationships/hyperlink" Id="rId70"/>
    <Relationship TargetMode="External" Target="https://www.legis.iowa.gov/docs/iac/rule/191.37.7.pdf" Type="http://schemas.openxmlformats.org/officeDocument/2006/relationships/hyperlink" Id="rId71"/>
    <Relationship TargetMode="External" Target="https://www.legis.iowa.gov/docs/iac/rule/191.37.7.pdf" Type="http://schemas.openxmlformats.org/officeDocument/2006/relationships/hyperlink" Id="rId72"/>
    <Relationship TargetMode="External" Target="https://www.legis.iowa.gov/docs/iac/rule/191.37.7.pdf" Type="http://schemas.openxmlformats.org/officeDocument/2006/relationships/hyperlink" Id="rId73"/>
    <Relationship TargetMode="External" Target="https://www.legis.iowa.gov/docs/iac/rule/191.37.7.pdf" Type="http://schemas.openxmlformats.org/officeDocument/2006/relationships/hyperlink" Id="rId74"/>
    <Relationship TargetMode="External" Target="https://www.legis.iowa.gov/docs/iac/rule/191.37.7.pdf" Type="http://schemas.openxmlformats.org/officeDocument/2006/relationships/hyperlink" Id="rId75"/>
    <Relationship TargetMode="External" Target="https://www.legis.iowa.gov/docs/iac/rule/191.37.7.pdf" Type="http://schemas.openxmlformats.org/officeDocument/2006/relationships/hyperlink" Id="rId76"/>
    <Relationship TargetMode="External" Target="https://www.legis.iowa.gov/docs/iac/rule/191.37.7.pdf" Type="http://schemas.openxmlformats.org/officeDocument/2006/relationships/hyperlink" Id="rId77"/>
    <Relationship TargetMode="External" Target="https://www.legis.iowa.gov/docs/iac/rule/191.37.7.pdf" Type="http://schemas.openxmlformats.org/officeDocument/2006/relationships/hyperlink" Id="rId78"/>
    <Relationship TargetMode="External" Target="https://www.legis.iowa.gov/docs/iac/rule/191.37.7.pdf" Type="http://schemas.openxmlformats.org/officeDocument/2006/relationships/hyperlink" Id="rId79"/>
    <Relationship TargetMode="External" Target="https://www.legis.iowa.gov/docs/iac/rule/191.37.7.pdf" Type="http://schemas.openxmlformats.org/officeDocument/2006/relationships/hyperlink" Id="rId80"/>
    <Relationship TargetMode="External" Target="https://www.legis.iowa.gov/docs/iac/rule/191.37.7.pdf" Type="http://schemas.openxmlformats.org/officeDocument/2006/relationships/hyperlink" Id="rId81"/>
    <Relationship TargetMode="External" Target="https://www.legis.iowa.gov/docs/iac/rule/191.37.7.pdf" Type="http://schemas.openxmlformats.org/officeDocument/2006/relationships/hyperlink" Id="rId82"/>
    <Relationship TargetMode="External" Target="https://www.legis.iowa.gov/docs/iac/rule/191.37.7.pdf" Type="http://schemas.openxmlformats.org/officeDocument/2006/relationships/hyperlink" Id="rId83"/>
    <Relationship TargetMode="External" Target="https://www.legis.iowa.gov/docs/iac/rule/191.37.7.pdf" Type="http://schemas.openxmlformats.org/officeDocument/2006/relationships/hyperlink" Id="rId84"/>
    <Relationship TargetMode="External" Target="https://www.legis.iowa.gov/docs/iac/rule/191.37.7.pdf" Type="http://schemas.openxmlformats.org/officeDocument/2006/relationships/hyperlink" Id="rId85"/>
    <Relationship TargetMode="External" Target="https://www.legis.iowa.gov/docs/iac/rule/191.37.7.pdf" Type="http://schemas.openxmlformats.org/officeDocument/2006/relationships/hyperlink" Id="rId86"/>
    <Relationship TargetMode="External" Target="https://www.legis.iowa.gov/docs/iac/rule/191.37.7.pdf" Type="http://schemas.openxmlformats.org/officeDocument/2006/relationships/hyperlink" Id="rId87"/>
    <Relationship TargetMode="External" Target="https://www.legis.iowa.gov/docs/iac/rule/191.37.7.pdf" Type="http://schemas.openxmlformats.org/officeDocument/2006/relationships/hyperlink" Id="rId88"/>
    <Relationship TargetMode="External" Target="https://www.legis.iowa.gov/docs/iac/rule/191.37.7.pdf" Type="http://schemas.openxmlformats.org/officeDocument/2006/relationships/hyperlink" Id="rId89"/>
    <Relationship TargetMode="External" Target="https://www.legis.iowa.gov/docs/iac/rule/191.37.7.pdf" Type="http://schemas.openxmlformats.org/officeDocument/2006/relationships/hyperlink" Id="rId90"/>
    <Relationship TargetMode="External" Target="https://www.legis.iowa.gov/docs/iac/rule/191.37.7.pdf" Type="http://schemas.openxmlformats.org/officeDocument/2006/relationships/hyperlink" Id="rId91"/>
    <Relationship TargetMode="External" Target="https://www.legis.iowa.gov/docs/iac/rule/191.37.7.pdf" Type="http://schemas.openxmlformats.org/officeDocument/2006/relationships/hyperlink" Id="rId92"/>
    <Relationship TargetMode="External" Target="https://www.legis.iowa.gov/docs/iac/rule/191.37.7.pdf" Type="http://schemas.openxmlformats.org/officeDocument/2006/relationships/hyperlink" Id="rId93"/>
    <Relationship TargetMode="External" Target="https://www.legis.iowa.gov/docs/iac/rule/191.37.6.pdf" Type="http://schemas.openxmlformats.org/officeDocument/2006/relationships/hyperlink" Id="rId94"/>
    <Relationship TargetMode="External" Target="https://www.legis.iowa.gov/docs/iac/rule/191.37.7.pdf" Type="http://schemas.openxmlformats.org/officeDocument/2006/relationships/hyperlink" Id="rId95"/>
    <Relationship TargetMode="External" Target="https://www.legis.iowa.gov/docs/iac/rule/191.37.8.pdf" Type="http://schemas.openxmlformats.org/officeDocument/2006/relationships/hyperlink" Id="rId96"/>
    <Relationship TargetMode="External" Target="https://www.legis.iowa.gov/docs/iac/rule/191.37.20.pdf" Type="http://schemas.openxmlformats.org/officeDocument/2006/relationships/hyperlink" Id="rId97"/>
    <Relationship TargetMode="External" Target="https://www.legis.iowa.gov/docs/iac/rule/191.37.8.pdf" Type="http://schemas.openxmlformats.org/officeDocument/2006/relationships/hyperlink" Id="rId98"/>
    <Relationship TargetMode="External" Target="https://www.legis.iowa.gov/docs/iac/rule/191.37.3.pdf" Type="http://schemas.openxmlformats.org/officeDocument/2006/relationships/hyperlink" Id="rId99"/>
    <Relationship TargetMode="External" Target="https://www.legis.iowa.gov/docs/iac/rule/191.37.4.pdf" Type="http://schemas.openxmlformats.org/officeDocument/2006/relationships/hyperlink" Id="rId100"/>
    <Relationship TargetMode="External" Target="https://www.legis.iowa.gov/docs/iac/rule/191.37.8.pdf" Type="http://schemas.openxmlformats.org/officeDocument/2006/relationships/hyperlink" Id="rId101"/>
    <Relationship TargetMode="External" Target="https://www.legis.iowa.gov/docs/iac/rule/191.37.8.pdf" Type="http://schemas.openxmlformats.org/officeDocument/2006/relationships/hyperlink" Id="rId102"/>
    <Relationship TargetMode="External" Target="https://www.legis.iowa.gov/docs/iac/rule/191.37.8.pdf" Type="http://schemas.openxmlformats.org/officeDocument/2006/relationships/hyperlink" Id="rId103"/>
    <Relationship TargetMode="External" Target="https://www.legis.iowa.gov/docs/iac/rule/191.37.8.pdf" Type="http://schemas.openxmlformats.org/officeDocument/2006/relationships/hyperlink" Id="rId104"/>
    <Relationship TargetMode="External" Target="https://www.legis.iowa.gov/docs/iac/rule/191.37.8.pdf" Type="http://schemas.openxmlformats.org/officeDocument/2006/relationships/hyperlink" Id="rId105"/>
    <Relationship TargetMode="External" Target="https://www.legis.iowa.gov/docs/iac/rule/191.37.8.pdf" Type="http://schemas.openxmlformats.org/officeDocument/2006/relationships/hyperlink" Id="rId106"/>
    <Relationship TargetMode="External" Target="https://www.legis.iowa.gov/docs/iac/rule/191.37.8.pdf" Type="http://schemas.openxmlformats.org/officeDocument/2006/relationships/hyperlink" Id="rId107"/>
    <Relationship TargetMode="External" Target="https://www.legis.iowa.gov/docs/iac/rule/191.37.8.pdf" Type="http://schemas.openxmlformats.org/officeDocument/2006/relationships/hyperlink" Id="rId108"/>
    <Relationship TargetMode="External" Target="https://www.legis.iowa.gov/docs/iac/rule/191.37.8.pdf" Type="http://schemas.openxmlformats.org/officeDocument/2006/relationships/hyperlink" Id="rId109"/>
    <Relationship TargetMode="External" Target="https://www.legis.iowa.gov/docs/iac/rule/191.37.8.pdf" Type="http://schemas.openxmlformats.org/officeDocument/2006/relationships/hyperlink" Id="rId110"/>
    <Relationship TargetMode="External" Target="https://www.legis.iowa.gov/docs/iac/rule/191.37.8.pdf" Type="http://schemas.openxmlformats.org/officeDocument/2006/relationships/hyperlink" Id="rId111"/>
    <Relationship TargetMode="External" Target="https://www.legis.iowa.gov/docs/iac/rule/191.37.8.pdf" Type="http://schemas.openxmlformats.org/officeDocument/2006/relationships/hyperlink" Id="rId112"/>
    <Relationship TargetMode="External" Target="https://www.legis.iowa.gov/docs/iac/rule/191.37.8.pdf" Type="http://schemas.openxmlformats.org/officeDocument/2006/relationships/hyperlink" Id="rId113"/>
    <Relationship TargetMode="External" Target="https://www.legis.iowa.gov/docs/iac/rule/191.37.8.pdf" Type="http://schemas.openxmlformats.org/officeDocument/2006/relationships/hyperlink" Id="rId114"/>
    <Relationship TargetMode="External" Target="https://www.legis.iowa.gov/docs/iac/rule/191.37.8.pdf" Type="http://schemas.openxmlformats.org/officeDocument/2006/relationships/hyperlink" Id="rId115"/>
    <Relationship TargetMode="External" Target="https://www.legis.iowa.gov/docs/iac/rule/191.37.8.pdf" Type="http://schemas.openxmlformats.org/officeDocument/2006/relationships/hyperlink" Id="rId116"/>
    <Relationship TargetMode="External" Target="https://www.legis.iowa.gov/docs/iac/rule/191.37.8.pdf" Type="http://schemas.openxmlformats.org/officeDocument/2006/relationships/hyperlink" Id="rId117"/>
    <Relationship TargetMode="External" Target="https://www.legis.iowa.gov/docs/iac/rule/191.37.8.pdf" Type="http://schemas.openxmlformats.org/officeDocument/2006/relationships/hyperlink" Id="rId118"/>
    <Relationship TargetMode="External" Target="https://www.legis.iowa.gov/docs/iac/rule/191.37.8.pdf" Type="http://schemas.openxmlformats.org/officeDocument/2006/relationships/hyperlink" Id="rId119"/>
    <Relationship TargetMode="External" Target="https://www.legis.iowa.gov/docs/iac/rule/191.37.8.pdf" Type="http://schemas.openxmlformats.org/officeDocument/2006/relationships/hyperlink" Id="rId120"/>
    <Relationship TargetMode="External" Target="https://www.legis.iowa.gov/docs/iac/rule/191.37.8.pdf" Type="http://schemas.openxmlformats.org/officeDocument/2006/relationships/hyperlink" Id="rId121"/>
    <Relationship TargetMode="External" Target="https://www.legis.iowa.gov/docs/iac/rule/191.37.8.pdf" Type="http://schemas.openxmlformats.org/officeDocument/2006/relationships/hyperlink" Id="rId122"/>
    <Relationship TargetMode="External" Target="https://www.legis.iowa.gov/docs/iac/rule/191.37.8.pdf" Type="http://schemas.openxmlformats.org/officeDocument/2006/relationships/hyperlink" Id="rId123"/>
    <Relationship TargetMode="External" Target="https://www.legis.iowa.gov/docs/iac/rule/191.37.8.pdf" Type="http://schemas.openxmlformats.org/officeDocument/2006/relationships/hyperlink" Id="rId124"/>
    <Relationship TargetMode="External" Target="https://www.legis.iowa.gov/docs/iac/rule/191.37.8.pdf" Type="http://schemas.openxmlformats.org/officeDocument/2006/relationships/hyperlink" Id="rId125"/>
    <Relationship TargetMode="External" Target="https://www.legis.iowa.gov/docs/iac/rule/191.37.8.pdf" Type="http://schemas.openxmlformats.org/officeDocument/2006/relationships/hyperlink" Id="rId126"/>
    <Relationship TargetMode="External" Target="https://www.legis.iowa.gov/docs/iac/rule/191.37.8.pdf" Type="http://schemas.openxmlformats.org/officeDocument/2006/relationships/hyperlink" Id="rId127"/>
    <Relationship TargetMode="External" Target="https://www.legis.iowa.gov/docs/iac/rule/191.37.8.pdf" Type="http://schemas.openxmlformats.org/officeDocument/2006/relationships/hyperlink" Id="rId128"/>
    <Relationship TargetMode="External" Target="https://www.legis.iowa.gov/docs/iac/rule/191.37.8.pdf" Type="http://schemas.openxmlformats.org/officeDocument/2006/relationships/hyperlink" Id="rId129"/>
    <Relationship TargetMode="External" Target="https://www.legis.iowa.gov/docs/iac/rule/191.37.8.pdf" Type="http://schemas.openxmlformats.org/officeDocument/2006/relationships/hyperlink" Id="rId130"/>
    <Relationship TargetMode="External" Target="https://www.legis.iowa.gov/docs/iac/rule/191.37.8.pdf" Type="http://schemas.openxmlformats.org/officeDocument/2006/relationships/hyperlink" Id="rId131"/>
    <Relationship TargetMode="External" Target="https://www.legis.iowa.gov/docs/iac/rule/191.37.8.pdf" Type="http://schemas.openxmlformats.org/officeDocument/2006/relationships/hyperlink" Id="rId132"/>
    <Relationship TargetMode="External" Target="https://www.legis.iowa.gov/docs/iac/rule/191.37.8.pdf" Type="http://schemas.openxmlformats.org/officeDocument/2006/relationships/hyperlink" Id="rId133"/>
    <Relationship TargetMode="External" Target="https://www.legis.iowa.gov/docs/iac/rule/191.37.8.pdf" Type="http://schemas.openxmlformats.org/officeDocument/2006/relationships/hyperlink" Id="rId134"/>
    <Relationship TargetMode="External" Target="https://www.legis.iowa.gov/docs/iac/rule/191.37.8.pdf" Type="http://schemas.openxmlformats.org/officeDocument/2006/relationships/hyperlink" Id="rId135"/>
    <Relationship TargetMode="External" Target="https://www.legis.iowa.gov/docs/iac/rule/191.37.8.pdf" Type="http://schemas.openxmlformats.org/officeDocument/2006/relationships/hyperlink" Id="rId136"/>
    <Relationship TargetMode="External" Target="https://www.legis.iowa.gov/docs/iac/rule/191.37.8.pdf" Type="http://schemas.openxmlformats.org/officeDocument/2006/relationships/hyperlink" Id="rId137"/>
    <Relationship TargetMode="External" Target="https://www.legis.iowa.gov/docs/iac/rule/191.37.8.pdf" Type="http://schemas.openxmlformats.org/officeDocument/2006/relationships/hyperlink" Id="rId138"/>
    <Relationship TargetMode="External" Target="https://www.legis.iowa.gov/docs/iac/rule/191.37.8.pdf" Type="http://schemas.openxmlformats.org/officeDocument/2006/relationships/hyperlink" Id="rId139"/>
    <Relationship TargetMode="External" Target="https://www.legis.iowa.gov/docs/iac/rule/191.37.8.pdf" Type="http://schemas.openxmlformats.org/officeDocument/2006/relationships/hyperlink" Id="rId140"/>
    <Relationship TargetMode="External" Target="https://www.legis.iowa.gov/docs/iac/rule/191.37.8.pdf" Type="http://schemas.openxmlformats.org/officeDocument/2006/relationships/hyperlink" Id="rId141"/>
    <Relationship TargetMode="External" Target="https://www.legis.iowa.gov/docs/iac/rule/191.37.8.pdf" Type="http://schemas.openxmlformats.org/officeDocument/2006/relationships/hyperlink" Id="rId142"/>
    <Relationship TargetMode="External" Target="https://www.legis.iowa.gov/docs/iac/rule/191.37.6.pdf" Type="http://schemas.openxmlformats.org/officeDocument/2006/relationships/hyperlink" Id="rId143"/>
    <Relationship TargetMode="External" Target="https://www.legis.iowa.gov/docs/iac/rule/191.37.7.pdf" Type="http://schemas.openxmlformats.org/officeDocument/2006/relationships/hyperlink" Id="rId144"/>
    <Relationship TargetMode="External" Target="https://www.legis.iowa.gov/docs/iac/rule/191.37.8.pdf" Type="http://schemas.openxmlformats.org/officeDocument/2006/relationships/hyperlink" Id="rId145"/>
    <Relationship TargetMode="External" Target="https://www.legis.iowa.gov/docs/iac/rule/191.37.8.pdf" Type="http://schemas.openxmlformats.org/officeDocument/2006/relationships/hyperlink" Id="rId146"/>
    <Relationship TargetMode="External" Target="https://www.legis.iowa.gov/docs/iac/rule/191.37.8.pdf" Type="http://schemas.openxmlformats.org/officeDocument/2006/relationships/hyperlink" Id="rId147"/>
    <Relationship TargetMode="External" Target="https://www.legis.iowa.gov/docs/iac/rule/191.37.8.pdf" Type="http://schemas.openxmlformats.org/officeDocument/2006/relationships/hyperlink" Id="rId148"/>
    <Relationship TargetMode="External" Target="https://www.legis.iowa.gov/docs/iac/rule/191.37.8.pdf" Type="http://schemas.openxmlformats.org/officeDocument/2006/relationships/hyperlink" Id="rId149"/>
    <Relationship TargetMode="External" Target="https://www.legis.iowa.gov/docs/iac/rule/191.37.8.pdf" Type="http://schemas.openxmlformats.org/officeDocument/2006/relationships/hyperlink" Id="rId150"/>
    <Relationship TargetMode="External" Target="https://www.legis.iowa.gov/docs/iac/rule/191.37.36.pdf" Type="http://schemas.openxmlformats.org/officeDocument/2006/relationships/hyperlink" Id="rId151"/>
    <Relationship TargetMode="External" Target="https://www.legis.iowa.gov/docs/iac/rule/191.37.9.pdf" Type="http://schemas.openxmlformats.org/officeDocument/2006/relationships/hyperlink" Id="rId152"/>
    <Relationship TargetMode="External" Target="https://www.legis.iowa.gov/docs/iac/rule/191.37.8.pdf" Type="http://schemas.openxmlformats.org/officeDocument/2006/relationships/hyperlink" Id="rId153"/>
    <Relationship TargetMode="External" Target="https://www.legis.iowa.gov/docs/iac/rule/191.37.20.pdf" Type="http://schemas.openxmlformats.org/officeDocument/2006/relationships/hyperlink" Id="rId154"/>
    <Relationship TargetMode="External" Target="https://www.legis.iowa.gov/docs/ico/chapter/514D.2.pdf" Type="http://schemas.openxmlformats.org/officeDocument/2006/relationships/hyperlink" Id="rId155"/>
    <Relationship TargetMode="External" Target="https://www.legis.iowa.gov/docs/iac/rule/191.37.3.pdf" Type="http://schemas.openxmlformats.org/officeDocument/2006/relationships/hyperlink" Id="rId156"/>
    <Relationship TargetMode="External" Target="https://www.legis.iowa.gov/docs/iac/rule/191.37.4.pdf" Type="http://schemas.openxmlformats.org/officeDocument/2006/relationships/hyperlink" Id="rId157"/>
    <Relationship TargetMode="External" Target="https://www.legis.iowa.gov/docs/iac/rule/191.37.20.pdf" Type="http://schemas.openxmlformats.org/officeDocument/2006/relationships/hyperlink" Id="rId158"/>
    <Relationship TargetMode="External" Target="https://www.legis.iowa.gov/docs/iac/rule/191.37.20.pdf" Type="http://schemas.openxmlformats.org/officeDocument/2006/relationships/hyperlink" Id="rId159"/>
    <Relationship TargetMode="External" Target="https://www.legis.iowa.gov/docs/iac/rule/191.37.20.pdf" Type="http://schemas.openxmlformats.org/officeDocument/2006/relationships/hyperlink" Id="rId160"/>
    <Relationship TargetMode="External" Target="https://www.legis.iowa.gov/docs/iac/rule/191.37.20.pdf" Type="http://schemas.openxmlformats.org/officeDocument/2006/relationships/hyperlink" Id="rId161"/>
    <Relationship TargetMode="External" Target="https://www.legis.iowa.gov/docs/iac/rule/191.37.20.pdf" Type="http://schemas.openxmlformats.org/officeDocument/2006/relationships/hyperlink" Id="rId162"/>
    <Relationship TargetMode="External" Target="https://www.legis.iowa.gov/docs/iac/rule/191.37.20.pdf" Type="http://schemas.openxmlformats.org/officeDocument/2006/relationships/hyperlink" Id="rId163"/>
    <Relationship TargetMode="External" Target="https://www.legis.iowa.gov/docs/iac/rule/191.37.20.pdf" Type="http://schemas.openxmlformats.org/officeDocument/2006/relationships/hyperlink" Id="rId164"/>
    <Relationship TargetMode="External" Target="https://www.legis.iowa.gov/docs/iac/rule/191.37.20.pdf" Type="http://schemas.openxmlformats.org/officeDocument/2006/relationships/hyperlink" Id="rId165"/>
    <Relationship TargetMode="External" Target="https://www.legis.iowa.gov/docs/iac/rule/191.37.21.pdf" Type="http://schemas.openxmlformats.org/officeDocument/2006/relationships/hyperlink" Id="rId166"/>
    <Relationship TargetMode="External" Target="https://www.legis.iowa.gov/docs/iac/rule/191.37.21.pdf" Type="http://schemas.openxmlformats.org/officeDocument/2006/relationships/hyperlink" Id="rId167"/>
    <Relationship TargetMode="External" Target="https://www.legis.iowa.gov/docs/iac/rule/191.37.21.pdf" Type="http://schemas.openxmlformats.org/officeDocument/2006/relationships/hyperlink" Id="rId168"/>
    <Relationship TargetMode="External" Target="https://www.legis.iowa.gov/docs/iac/rule/191.37.21.pdf" Type="http://schemas.openxmlformats.org/officeDocument/2006/relationships/hyperlink" Id="rId169"/>
    <Relationship TargetMode="External" Target="https://www.legis.iowa.gov/docs/iac/rule/191.37.21.pdf" Type="http://schemas.openxmlformats.org/officeDocument/2006/relationships/hyperlink" Id="rId170"/>
    <Relationship TargetMode="External" Target="https://www.legis.iowa.gov/docs/iac/rule/191.37.33.pdf" Type="http://schemas.openxmlformats.org/officeDocument/2006/relationships/hyperlink" Id="rId171"/>
    <Relationship TargetMode="External" Target="https://www.legis.iowa.gov/docs/iac/rule/191.37.36.pdf" Type="http://schemas.openxmlformats.org/officeDocument/2006/relationships/hyperlink" Id="rId172"/>
    <Relationship TargetMode="External" Target="https://www.legis.iowa.gov/docs/iac/rule/191.37.22.pdf" Type="http://schemas.openxmlformats.org/officeDocument/2006/relationships/hyperlink" Id="rId173"/>
    <Relationship TargetMode="External" Target="https://www.legis.iowa.gov/docs/iac/rule/191.37.23.pdf" Type="http://schemas.openxmlformats.org/officeDocument/2006/relationships/hyperlink" Id="rId174"/>
    <Relationship TargetMode="External" Target="https://www.legis.iowa.gov/docs/iac/rule/191.37.23.pdf" Type="http://schemas.openxmlformats.org/officeDocument/2006/relationships/hyperlink" Id="rId175"/>
    <Relationship TargetMode="External" Target="https://www.legis.iowa.gov/docs/iac/rule/191.37.23.pdf" Type="http://schemas.openxmlformats.org/officeDocument/2006/relationships/hyperlink" Id="rId176"/>
    <Relationship TargetMode="External" Target="https://www.legis.iowa.gov/docs/iac/rule/191.37.23.pdf" Type="http://schemas.openxmlformats.org/officeDocument/2006/relationships/hyperlink" Id="rId177"/>
    <Relationship TargetMode="External" Target="https://www.legis.iowa.gov/docs/iac/rule/191.37.23.pdf" Type="http://schemas.openxmlformats.org/officeDocument/2006/relationships/hyperlink" Id="rId178"/>
    <Relationship TargetMode="External" Target="https://www.legis.iowa.gov/docs/iac/rule/191.20.1.pdf" Type="http://schemas.openxmlformats.org/officeDocument/2006/relationships/hyperlink" Id="rId179"/>
    <Relationship TargetMode="External" Target="https://www.legis.iowa.gov/docs/iac/rule/191.37.24.pdf" Type="http://schemas.openxmlformats.org/officeDocument/2006/relationships/hyperlink" Id="rId180"/>
    <Relationship TargetMode="External" Target="https://www.legis.iowa.gov/docs/iac/rule/191.37.24.pdf" Type="http://schemas.openxmlformats.org/officeDocument/2006/relationships/hyperlink" Id="rId181"/>
    <Relationship TargetMode="External" Target="https://www.legis.iowa.gov/docs/iac/rule/191.37.24.pdf" Type="http://schemas.openxmlformats.org/officeDocument/2006/relationships/hyperlink" Id="rId182"/>
    <Relationship TargetMode="External" Target="https://www.legis.iowa.gov/docs/iac/rule/191.37.24.pdf" Type="http://schemas.openxmlformats.org/officeDocument/2006/relationships/hyperlink" Id="rId183"/>
    <Relationship TargetMode="External" Target="https://www.legis.iowa.gov/docs/iac/rule/191.37.24.pdf" Type="http://schemas.openxmlformats.org/officeDocument/2006/relationships/hyperlink" Id="rId184"/>
    <Relationship TargetMode="External" Target="https://www.legis.iowa.gov/docs/iac/rule/191.37.23.pdf" Type="http://schemas.openxmlformats.org/officeDocument/2006/relationships/hyperlink" Id="rId185"/>
    <Relationship TargetMode="External" Target="https://www.legis.iowa.gov/docs/iac/rule/191.37.26.pdf" Type="http://schemas.openxmlformats.org/officeDocument/2006/relationships/hyperlink" Id="rId186"/>
    <Relationship TargetMode="External" Target="https://www.legis.iowa.gov/docs/iac/rule/191.37.2.pdf" Type="http://schemas.openxmlformats.org/officeDocument/2006/relationships/hyperlink" Id="rId187"/>
    <Relationship TargetMode="External" Target="https://www.legis.iowa.gov/docs/iac/rule/191.37.26.pdf" Type="http://schemas.openxmlformats.org/officeDocument/2006/relationships/hyperlink" Id="rId188"/>
    <Relationship TargetMode="External" Target="https://www.legis.iowa.gov/docs/iac/rule/191.37.26.pdf" Type="http://schemas.openxmlformats.org/officeDocument/2006/relationships/hyperlink" Id="rId189"/>
    <Relationship TargetMode="External" Target="https://www.legis.iowa.gov/docs/iac/rule/191.37.27.pdf" Type="http://schemas.openxmlformats.org/officeDocument/2006/relationships/hyperlink" Id="rId190"/>
    <Relationship TargetMode="External" Target="https://www.legis.iowa.gov/docs/iac/rule/191.37.27.pdf" Type="http://schemas.openxmlformats.org/officeDocument/2006/relationships/hyperlink" Id="rId191"/>
    <Relationship TargetMode="External" Target="https://www.legis.iowa.gov/docs/iac/rule/191.37.27.pdf" Type="http://schemas.openxmlformats.org/officeDocument/2006/relationships/hyperlink" Id="rId192"/>
    <Relationship TargetMode="External" Target="https://www.legis.iowa.gov/docs/ico/chapter/507B.pdf" Type="http://schemas.openxmlformats.org/officeDocument/2006/relationships/hyperlink" Id="rId193"/>
    <Relationship TargetMode="External" Target="https://www.legis.iowa.gov/docs/iac/chapter/191.15.pdf" Type="http://schemas.openxmlformats.org/officeDocument/2006/relationships/hyperlink" Id="rId194"/>
    <Relationship TargetMode="External" Target="https://www.legis.iowa.gov/docs/ico/chapter/507B.pdf" Type="http://schemas.openxmlformats.org/officeDocument/2006/relationships/hyperlink" Id="rId195"/>
    <Relationship TargetMode="External" Target="https://www.legis.iowa.gov/docs/iac/rule/191.37.50.pdf" Type="http://schemas.openxmlformats.org/officeDocument/2006/relationships/hyperlink" Id="rId196"/>
    <Relationship TargetMode="External" Target="https://www.legis.iowa.gov/docs/iac/rule/191.37.21.pdf" Type="http://schemas.openxmlformats.org/officeDocument/2006/relationships/hyperlink" Id="rId197"/>
    <Relationship TargetMode="External" Target="https://www.legis.iowa.gov/docs/iac/rule/191.37.3.pdf" Type="http://schemas.openxmlformats.org/officeDocument/2006/relationships/hyperlink" Id="rId198"/>
    <Relationship TargetMode="External" Target="https://www.legis.iowa.gov/docs/iac/rule/191.37.34.pdf" Type="http://schemas.openxmlformats.org/officeDocument/2006/relationships/hyperlink" Id="rId199"/>
    <Relationship TargetMode="External" Target="https://www.legis.iowa.gov/docs/iac/rule/191.37.34.pdf" Type="http://schemas.openxmlformats.org/officeDocument/2006/relationships/hyperlink" Id="rId200"/>
    <Relationship TargetMode="External" Target="https://www.legis.iowa.gov/docs/iac/rule/191.37.34.pdf" Type="http://schemas.openxmlformats.org/officeDocument/2006/relationships/hyperlink" Id="rId201"/>
    <Relationship TargetMode="External" Target="https://www.legis.iowa.gov/docs/iac/rule/191.37.34.pdf" Type="http://schemas.openxmlformats.org/officeDocument/2006/relationships/hyperlink" Id="rId202"/>
    <Relationship TargetMode="External" Target="https://www.legis.iowa.gov/docs/iac/rule/191.37.34.pdf" Type="http://schemas.openxmlformats.org/officeDocument/2006/relationships/hyperlink" Id="rId203"/>
    <Relationship TargetMode="External" Target="https://www.legis.iowa.gov/docs/iac/rule/191.37.34.pdf" Type="http://schemas.openxmlformats.org/officeDocument/2006/relationships/hyperlink" Id="rId204"/>
    <Relationship TargetMode="External" Target="https://www.legis.iowa.gov/docs/ico/chapter/507B.pdf" Type="http://schemas.openxmlformats.org/officeDocument/2006/relationships/hyperlink" Id="rId205"/>
    <Relationship TargetMode="External" Target="https://www.legis.iowa.gov/docs/iac/rule/191.37.36.pdf" Type="http://schemas.openxmlformats.org/officeDocument/2006/relationships/hyperlink" Id="rId206"/>
    <Relationship TargetMode="External" Target="https://www.legis.iowa.gov/docs/iac/rule/191.37.36.pdf" Type="http://schemas.openxmlformats.org/officeDocument/2006/relationships/hyperlink" Id="rId207"/>
    <Relationship TargetMode="External" Target="https://www.legis.iowa.gov/docs/iac/rule/191.37.36.pdf" Type="http://schemas.openxmlformats.org/officeDocument/2006/relationships/hyperlink" Id="rId208"/>
    <Relationship TargetMode="External" Target="https://www.legis.iowa.gov/docs/iac/rule/191.37.36.pdf" Type="http://schemas.openxmlformats.org/officeDocument/2006/relationships/hyperlink" Id="rId209"/>
    <Relationship TargetMode="External" Target="https://www.legis.iowa.gov/docs/iac/rule/191.37.36.pdf" Type="http://schemas.openxmlformats.org/officeDocument/2006/relationships/hyperlink" Id="rId210"/>
    <Relationship TargetMode="External" Target="https://www.legis.iowa.gov/docs/iac/rule/191.37.36.pdf" Type="http://schemas.openxmlformats.org/officeDocument/2006/relationships/hyperlink" Id="rId211"/>
    <Relationship TargetMode="External" Target="https://www.legis.iowa.gov/docs/iac/rule/191.37.36.pdf" Type="http://schemas.openxmlformats.org/officeDocument/2006/relationships/hyperlink" Id="rId212"/>
    <Relationship TargetMode="External" Target="https://www.legis.iowa.gov/docs/ico/chapter/507C.pdf" Type="http://schemas.openxmlformats.org/officeDocument/2006/relationships/hyperlink" Id="rId213"/>
    <Relationship TargetMode="External" Target="https://www.legis.iowa.gov/docs/iac/rule/191.37.36.pdf" Type="http://schemas.openxmlformats.org/officeDocument/2006/relationships/hyperlink" Id="rId214"/>
    <Relationship TargetMode="External" Target="https://www.legis.iowa.gov/docs/iac/rule/191.37.36.pdf" Type="http://schemas.openxmlformats.org/officeDocument/2006/relationships/hyperlink" Id="rId215"/>
    <Relationship TargetMode="External" Target="https://www.legis.iowa.gov/docs/iac/rule/191.37.36.pdf" Type="http://schemas.openxmlformats.org/officeDocument/2006/relationships/hyperlink" Id="rId216"/>
    <Relationship TargetMode="External" Target="https://www.legis.iowa.gov/docs/iac/rule/191.37.36.pdf" Type="http://schemas.openxmlformats.org/officeDocument/2006/relationships/hyperlink" Id="rId217"/>
    <Relationship TargetMode="External" Target="https://www.legis.iowa.gov/docs/iac/rule/191.37.36.pdf" Type="http://schemas.openxmlformats.org/officeDocument/2006/relationships/hyperlink" Id="rId218"/>
    <Relationship TargetMode="External" Target="https://www.legis.iowa.gov/docs/ico/chapter/507C.pdf" Type="http://schemas.openxmlformats.org/officeDocument/2006/relationships/hyperlink" Id="rId219"/>
    <Relationship TargetMode="External" Target="https://www.legis.iowa.gov/docs/iac/rule/191.37.36.pdf" Type="http://schemas.openxmlformats.org/officeDocument/2006/relationships/hyperlink" Id="rId220"/>
    <Relationship TargetMode="External" Target="https://www.legis.iowa.gov/docs/iac/rule/191.37.36.pdf" Type="http://schemas.openxmlformats.org/officeDocument/2006/relationships/hyperlink" Id="rId221"/>
    <Relationship TargetMode="External" Target="https://www.legis.iowa.gov/docs/iac/rule/191.37.36.pdf" Type="http://schemas.openxmlformats.org/officeDocument/2006/relationships/hyperlink" Id="rId222"/>
    <Relationship TargetMode="External" Target="https://www.legis.iowa.gov/docs/iac/rule/191.37.36.pdf" Type="http://schemas.openxmlformats.org/officeDocument/2006/relationships/hyperlink" Id="rId223"/>
    <Relationship TargetMode="External" Target="https://www.legis.iowa.gov/docs/iac/rule/191.37.36.pdf" Type="http://schemas.openxmlformats.org/officeDocument/2006/relationships/hyperlink" Id="rId224"/>
    <Relationship TargetMode="External" Target="https://www.legis.iowa.gov/docs/iac/rule/191.37.36.pdf" Type="http://schemas.openxmlformats.org/officeDocument/2006/relationships/hyperlink" Id="rId225"/>
    <Relationship TargetMode="External" Target="https://www.legis.iowa.gov/docs/iac/rule/191.37.36.pdf" Type="http://schemas.openxmlformats.org/officeDocument/2006/relationships/hyperlink" Id="rId226"/>
    <Relationship TargetMode="External" Target="https://www.legis.iowa.gov/docs/iac/rule/191.37.36.pdf" Type="http://schemas.openxmlformats.org/officeDocument/2006/relationships/hyperlink" Id="rId227"/>
    <Relationship TargetMode="External" Target="https://www.legis.iowa.gov/docs/iac/rule/191.37.36.pdf" Type="http://schemas.openxmlformats.org/officeDocument/2006/relationships/hyperlink" Id="rId228"/>
    <Relationship TargetMode="External" Target="https://www.legis.iowa.gov/docs/iac/rule/191.37.36.pdf" Type="http://schemas.openxmlformats.org/officeDocument/2006/relationships/hyperlink" Id="rId229"/>
    <Relationship TargetMode="External" Target="https://www.legis.iowa.gov/docs/iac/rule/191.37.36.pdf" Type="http://schemas.openxmlformats.org/officeDocument/2006/relationships/hyperlink" Id="rId230"/>
    <Relationship TargetMode="External" Target="https://www.legis.iowa.gov/docs/iac/rule/191.37.36.pdf" Type="http://schemas.openxmlformats.org/officeDocument/2006/relationships/hyperlink" Id="rId231"/>
    <Relationship TargetMode="External" Target="https://www.legis.iowa.gov/docs/iac/rule/191.37.36.pdf" Type="http://schemas.openxmlformats.org/officeDocument/2006/relationships/hyperlink" Id="rId232"/>
    <Relationship TargetMode="External" Target="https://www.legis.iowa.gov/docs/iac/rule/191.37.36.pdf" Type="http://schemas.openxmlformats.org/officeDocument/2006/relationships/hyperlink" Id="rId233"/>
    <Relationship TargetMode="External" Target="https://www.legis.iowa.gov/docs/iac/rule/191.37.36.pdf" Type="http://schemas.openxmlformats.org/officeDocument/2006/relationships/hyperlink" Id="rId234"/>
    <Relationship TargetMode="External" Target="https://www.legis.iowa.gov/docs/iac/rule/191.37.36.pdf" Type="http://schemas.openxmlformats.org/officeDocument/2006/relationships/hyperlink" Id="rId235"/>
    <Relationship TargetMode="External" Target="https://www.legis.iowa.gov/docs/iac/rule/191.37.36.pdf" Type="http://schemas.openxmlformats.org/officeDocument/2006/relationships/hyperlink" Id="rId236"/>
    <Relationship TargetMode="External" Target="https://www.legis.iowa.gov/docs/iac/rule/191.37.36.pdf" Type="http://schemas.openxmlformats.org/officeDocument/2006/relationships/hyperlink" Id="rId237"/>
    <Relationship TargetMode="External" Target="https://www.legis.iowa.gov/docs/iac/rule/191.37.36.pdf" Type="http://schemas.openxmlformats.org/officeDocument/2006/relationships/hyperlink" Id="rId238"/>
    <Relationship TargetMode="External" Target="https://www.legis.iowa.gov/docs/iac/rule/191.37.36.pdf" Type="http://schemas.openxmlformats.org/officeDocument/2006/relationships/hyperlink" Id="rId239"/>
    <Relationship TargetMode="External" Target="https://www.legis.iowa.gov/docs/iac/rule/191.37.36.pdf" Type="http://schemas.openxmlformats.org/officeDocument/2006/relationships/hyperlink" Id="rId240"/>
    <Relationship TargetMode="External" Target="https://www.legis.iowa.gov/docs/iac/rule/191.37.36.pdf" Type="http://schemas.openxmlformats.org/officeDocument/2006/relationships/hyperlink" Id="rId241"/>
    <Relationship TargetMode="External" Target="https://www.legis.iowa.gov/docs/iac/rule/191.37.36.pdf" Type="http://schemas.openxmlformats.org/officeDocument/2006/relationships/hyperlink" Id="rId242"/>
    <Relationship TargetMode="External" Target="https://www.legis.iowa.gov/docs/iac/rule/191.37.36.pdf" Type="http://schemas.openxmlformats.org/officeDocument/2006/relationships/hyperlink" Id="rId243"/>
    <Relationship TargetMode="External" Target="https://www.legis.iowa.gov/docs/iac/rule/191.37.36.pdf" Type="http://schemas.openxmlformats.org/officeDocument/2006/relationships/hyperlink" Id="rId244"/>
    <Relationship TargetMode="External" Target="https://www.legis.iowa.gov/docs/iac/rule/191.37.36.pdf" Type="http://schemas.openxmlformats.org/officeDocument/2006/relationships/hyperlink" Id="rId245"/>
    <Relationship TargetMode="External" Target="https://www.legis.iowa.gov/docs/iac/rule/191.37.36.pdf" Type="http://schemas.openxmlformats.org/officeDocument/2006/relationships/hyperlink" Id="rId246"/>
    <Relationship TargetMode="External" Target="https://www.legis.iowa.gov/docs/iac/rule/191.37.36.pdf" Type="http://schemas.openxmlformats.org/officeDocument/2006/relationships/hyperlink" Id="rId247"/>
    <Relationship TargetMode="External" Target="https://www.legis.iowa.gov/docs/iac/rule/191.37.50.pdf" Type="http://schemas.openxmlformats.org/officeDocument/2006/relationships/hyperlink" Id="rId248"/>
    <Relationship TargetMode="External" Target="https://www.legis.iowa.gov/docs/ico/chapter/507B.pdf" Type="http://schemas.openxmlformats.org/officeDocument/2006/relationships/hyperlink" Id="rId249"/>
    <Relationship TargetMode="External" Target="https://www.legis.iowa.gov/docs/iac/chapter/191.15.pdf" Type="http://schemas.openxmlformats.org/officeDocument/2006/relationships/hyperlink" Id="rId250"/>
    <Relationship TargetMode="External" Target="https://www.legis.iowa.gov/docs/iac/rule/191.37.50.pdf" Type="http://schemas.openxmlformats.org/officeDocument/2006/relationships/hyperlink" Id="rId251"/>
    <Relationship TargetMode="External" Target="https://www.legis.iowa.gov/docs/ico/chapter/507B.2.pdf" Type="http://schemas.openxmlformats.org/officeDocument/2006/relationships/hyperlink" Id="rId252"/>
    <Relationship TargetMode="External" Target="https://www.legis.iowa.gov/docs/ico/chapter/514D.2.pdf" Type="http://schemas.openxmlformats.org/officeDocument/2006/relationships/hyperlink" Id="rId253"/>
    <Relationship TargetMode="External" Target="https://www.legis.iowa.gov/docs/iac/rule/191.15.2.pdf" Type="http://schemas.openxmlformats.org/officeDocument/2006/relationships/hyperlink" Id="rId254"/>
    <Relationship TargetMode="External" Target="https://www.legis.iowa.gov/docs/iac/rule/191.37.3.pdf" Type="http://schemas.openxmlformats.org/officeDocument/2006/relationships/hyperlink" Id="rId255"/>
    <Relationship TargetMode="External" Target="https://www.legis.iowa.gov/docs/iac/rule/191.37.50.pdf" Type="http://schemas.openxmlformats.org/officeDocument/2006/relationships/hyperlink" Id="rId256"/>
    <Relationship TargetMode="External" Target="https://www.legis.iowa.gov/docs/ico/chapter/507B.2.pdf" Type="http://schemas.openxmlformats.org/officeDocument/2006/relationships/hyperlink" Id="rId257"/>
    <Relationship TargetMode="External" Target="https://www.legis.iowa.gov/docs/ico/chapter/514D.2.pdf" Type="http://schemas.openxmlformats.org/officeDocument/2006/relationships/hyperlink" Id="rId258"/>
    <Relationship TargetMode="External" Target="https://www.legis.iowa.gov/docs/iac/rule/191.15.2.pdf" Type="http://schemas.openxmlformats.org/officeDocument/2006/relationships/hyperlink" Id="rId259"/>
    <Relationship TargetMode="External" Target="https://www.legis.iowa.gov/docs/iac/rule/191.37.3.pdf" Type="http://schemas.openxmlformats.org/officeDocument/2006/relationships/hyperlink" Id="rId260"/>
    <Relationship TargetMode="External" Target="https://www.legis.iowa.gov/docs/iac/rule/191.15.2.pdf" Type="http://schemas.openxmlformats.org/officeDocument/2006/relationships/hyperlink" Id="rId261"/>
    <Relationship TargetMode="External" Target="https://www.legis.iowa.gov/docs/iac/rule/191.15.2.pdf" Type="http://schemas.openxmlformats.org/officeDocument/2006/relationships/hyperlink" Id="rId262"/>
    <Relationship TargetMode="External" Target="https://www.legis.iowa.gov/docs/iac/rule/191.37.50.pdf" Type="http://schemas.openxmlformats.org/officeDocument/2006/relationships/hyperlink" Id="rId263"/>
    <Relationship TargetMode="External" Target="https://www.legis.iowa.gov/docs/iac/rule/191.37.3.pdf" Type="http://schemas.openxmlformats.org/officeDocument/2006/relationships/hyperlink" Id="rId264"/>
    <Relationship TargetMode="External" Target="https://www.legis.iowa.gov/docs/iac/rule/191.15.3.pdf" Type="http://schemas.openxmlformats.org/officeDocument/2006/relationships/hyperlink" Id="rId265"/>
    <Relationship TargetMode="External" Target="https://www.legis.iowa.gov/docs/iac/rule/191.15.3.pdf" Type="http://schemas.openxmlformats.org/officeDocument/2006/relationships/hyperlink" Id="rId266"/>
    <Relationship TargetMode="External" Target="https://www.legis.iowa.gov/docs/iac/rule/191.15.3.pdf" Type="http://schemas.openxmlformats.org/officeDocument/2006/relationships/hyperlink" Id="rId267"/>
    <Relationship TargetMode="External" Target="https://www.legis.iowa.gov/docs/ico/chapter/507B.pdf" Type="http://schemas.openxmlformats.org/officeDocument/2006/relationships/hyperlink" Id="rId268"/>
    <Relationship TargetMode="External" Target="https://www.legis.iowa.gov/docs/ico/chapter/514D.pdf" Type="http://schemas.openxmlformats.org/officeDocument/2006/relationships/hyperlink" Id="rId269"/>
    <Relationship TargetMode="External" Target="https://www.legis.iowa.gov/docs/iac/rule/191.37.8.pdf" Type="http://schemas.openxmlformats.org/officeDocument/2006/relationships/hyperlink" Id="rId270"/>
    <Relationship TargetMode="External" Target="https://www.legis.iowa.gov/docs/iac/rule/191.37.32.pdf" Type="http://schemas.openxmlformats.org/officeDocument/2006/relationships/hyperlink" Id="rId2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