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VARIABLE LIFE INSURANCE MODEL REGULATION</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191—33.1</w:t>
      </w:r>
      <w:r>
        <w:rPr>
          <w:rFonts w:ascii="Times New Roman" w:hAnsi="Times New Roman"/>
          <w:b/>
          <w:i w:val="false"/>
          <w:color w:val="000000"/>
          <w:sz w:val="22"/>
        </w:rPr>
        <w:t xml:space="preserve">(508A)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applicable to variable life insurance policies, is promulgated under the authority of Iowa Code sections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508A.4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supplementary to </w:t>
      </w:r>
      <w:hyperlink r:id="rId7">
        <w:r>
          <w:rPr>
            <w:rStyle w:val="Hyperlink"/>
            <w:rFonts w:ascii="Times New Roman" w:hAnsi="Times New Roman"/>
            <w:b w:val="false"/>
            <w:i w:val="false"/>
            <w:color w:val="000000"/>
            <w:sz w:val="22"/>
          </w:rPr>
          <w:t>191—Chapter 31</w:t>
        </w:r>
      </w:hyperlink>
      <w:r>
        <w:rPr>
          <w:rFonts w:ascii="Times New Roman" w:hAnsi="Times New Roman"/>
          <w:b w:val="false"/>
          <w:i w:val="false"/>
          <w:color w:val="000000"/>
          <w:sz w:val="22"/>
        </w:rPr>
        <w:t>, which remains in effect except that, with respect to any variable life insurance policy issued on or after the effective date of this chapter, this chapter shall control to the extent there is any conflict.</w:t>
      </w:r>
    </w:p>
    <w:p>
      <w:pPr>
        <w:spacing w:before="0" w:after="0"/>
        <w:ind w:left="120"/>
        <w:jc w:val="both"/>
      </w:pPr>
      <w:r>
        <w:rPr>
          <w:rFonts w:ascii="Times New Roman" w:hAnsi="Times New Roman"/>
          <w:b/>
          <w:i w:val="false"/>
          <w:color w:val="000000"/>
          <w:sz w:val="22"/>
        </w:rPr>
        <w:t>191—33.2</w:t>
      </w:r>
      <w:r>
        <w:rPr>
          <w:rFonts w:ascii="Times New Roman" w:hAnsi="Times New Roman"/>
          <w:b/>
          <w:i w:val="false"/>
          <w:color w:val="000000"/>
          <w:sz w:val="22"/>
        </w:rPr>
        <w:t xml:space="preserve">(508A)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of an insurer means any person, directly or indirectly, controlling, controlled by, or under common control with such insurer; any person who regularly furnishes investment advice to such insurer with respect to its separate accounts for which a specific fee or commission is charged; or any director, officer, partner, or employee of any such insurer, controlling or controlled person, or person providing investment advice or any member of the immediate family of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“Assumed investment rate” </w:t>
      </w:r>
      <w:r>
        <w:rPr>
          <w:rFonts w:ascii="Times New Roman" w:hAnsi="Times New Roman"/>
          <w:b w:val="false"/>
          <w:i w:val="false"/>
          <w:color w:val="000000"/>
          <w:sz w:val="22"/>
        </w:rPr>
        <w:t>means the rate of investment return which would be required to be credited to a variable life insurance policy, after deduction of charges for taxes, investment expenses, and mortality and expense guarantees to maintain the variable death benefit equal at all times to the amount of death benefit, other than incidental insurance benefits, which would be payable under the plan of insurance if the death benefit did not vary according to the investment experience of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base” </w:t>
      </w:r>
      <w:r>
        <w:rPr>
          <w:rFonts w:ascii="Times New Roman" w:hAnsi="Times New Roman"/>
          <w:b w:val="false"/>
          <w:i w:val="false"/>
          <w:color w:val="000000"/>
          <w:sz w:val="22"/>
        </w:rPr>
        <w:t>means the amount to which the net investment return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means the same as defined in </w:t>
      </w:r>
      <w:hyperlink r:id="rId8">
        <w:r>
          <w:rPr>
            <w:rStyle w:val="Hyperlink"/>
            <w:rFonts w:ascii="Times New Roman" w:hAnsi="Times New Roman"/>
            <w:b w:val="false"/>
            <w:i w:val="false"/>
            <w:color w:val="000000"/>
            <w:sz w:val="22"/>
          </w:rPr>
          <w:t>rule 191—1.1(502,505)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(including the terms “controlling,” “controlled by” and “under common control with”) means the possession, direct or indirect, of the power to direct or cause the direction of the management of policies of a person, whether through the ownership of voting securities, by contract other than a commercial contract for goods or nonmanagement services, or otherwise, unless the power is the result of an official position with or corporate office held by the person. Control shall be presumed to exist if any person, directly or indirectly, owns, controls, holds with the power to vote, or holds proxies representing more than 10 percent of the voting securities of any other person. This presumption may be rebutted by a showing made to the satisfaction of the commissioner that control does not exist in fact. The commissioner may determine, after furnishing all persons in interest notice and opportunity to be heard and making specific findings of fact to support such determination, that control exists in fact, notwithstanding the absence of a presumption to that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“Flexible premium policy” </w:t>
      </w:r>
      <w:r>
        <w:rPr>
          <w:rFonts w:ascii="Times New Roman" w:hAnsi="Times New Roman"/>
          <w:b w:val="false"/>
          <w:i w:val="false"/>
          <w:color w:val="000000"/>
          <w:sz w:val="22"/>
        </w:rPr>
        <w:t xml:space="preserve">means any variable life insurance policy other than a scheduled premium policy as specified in </w:t>
      </w:r>
      <w:hyperlink r:id="rId9">
        <w:r>
          <w:rPr>
            <w:rStyle w:val="Hyperlink"/>
            <w:rFonts w:ascii="Times New Roman" w:hAnsi="Times New Roman"/>
            <w:b w:val="false"/>
            <w:i w:val="false"/>
            <w:color w:val="000000"/>
            <w:sz w:val="22"/>
          </w:rPr>
          <w:t>subrule 33.2(15)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account” </w:t>
      </w:r>
      <w:r>
        <w:rPr>
          <w:rFonts w:ascii="Times New Roman" w:hAnsi="Times New Roman"/>
          <w:b w:val="false"/>
          <w:i w:val="false"/>
          <w:color w:val="000000"/>
          <w:sz w:val="22"/>
        </w:rPr>
        <w:t xml:space="preserve">means all assets of the insurer other than assets in separate accounts established pursuant to Iowa Code section </w:t>
      </w:r>
      <w:hyperlink r:id="rId10">
        <w:r>
          <w:rPr>
            <w:rStyle w:val="Hyperlink"/>
            <w:rFonts w:ascii="Times New Roman" w:hAnsi="Times New Roman"/>
            <w:b w:val="false"/>
            <w:i w:val="false"/>
            <w:color w:val="000000"/>
            <w:sz w:val="22"/>
          </w:rPr>
          <w:t>508A.1</w:t>
        </w:r>
      </w:hyperlink>
      <w:r>
        <w:rPr>
          <w:rFonts w:ascii="Times New Roman" w:hAnsi="Times New Roman"/>
          <w:b w:val="false"/>
          <w:i w:val="false"/>
          <w:color w:val="000000"/>
          <w:sz w:val="22"/>
        </w:rPr>
        <w:t xml:space="preserve"> or pursuant to the corresponding section of the insurance laws of the state of domicile of a foreign or alien insurer, whether or not for variable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insurance benefit” </w:t>
      </w:r>
      <w:r>
        <w:rPr>
          <w:rFonts w:ascii="Times New Roman" w:hAnsi="Times New Roman"/>
          <w:b w:val="false"/>
          <w:i w:val="false"/>
          <w:color w:val="000000"/>
          <w:sz w:val="22"/>
        </w:rPr>
        <w:t>means all insurance benefits in a variable life insurance policy, other than the variable death benefit and the minimum death benefit, including but not limited to accidental death and dismemberment benefits, disability benefits, guaranteed insurability options, family income, or term 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“May” </w:t>
      </w:r>
      <w:r>
        <w:rPr>
          <w:rFonts w:ascii="Times New Roman" w:hAnsi="Times New Roman"/>
          <w:b w:val="false"/>
          <w:i w:val="false"/>
          <w:color w:val="000000"/>
          <w:sz w:val="22"/>
        </w:rPr>
        <w:t>is permissive.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death benefit” </w:t>
      </w:r>
      <w:r>
        <w:rPr>
          <w:rFonts w:ascii="Times New Roman" w:hAnsi="Times New Roman"/>
          <w:b w:val="false"/>
          <w:i w:val="false"/>
          <w:color w:val="000000"/>
          <w:sz w:val="22"/>
        </w:rPr>
        <w:t>means the amount of the guaranteed death benefit, other than incidental insurance benefits, payable under a variable life insurance policy regardless of the investment performance of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investment return” </w:t>
      </w:r>
      <w:r>
        <w:rPr>
          <w:rFonts w:ascii="Times New Roman" w:hAnsi="Times New Roman"/>
          <w:b w:val="false"/>
          <w:i w:val="false"/>
          <w:color w:val="000000"/>
          <w:sz w:val="22"/>
        </w:rPr>
        <w:t>means the rate of investment return in a separate account to be applied to the benefit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partnership, association, trust, or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processing day” </w:t>
      </w:r>
      <w:r>
        <w:rPr>
          <w:rFonts w:ascii="Times New Roman" w:hAnsi="Times New Roman"/>
          <w:b w:val="false"/>
          <w:i w:val="false"/>
          <w:color w:val="000000"/>
          <w:sz w:val="22"/>
        </w:rPr>
        <w:t>means the day on which charges authorized in the policy are deducted from the policy’s cash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191—10.2(522B)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“Scheduled premium policy” </w:t>
      </w:r>
      <w:r>
        <w:rPr>
          <w:rFonts w:ascii="Times New Roman" w:hAnsi="Times New Roman"/>
          <w:b w:val="false"/>
          <w:i w:val="false"/>
          <w:color w:val="000000"/>
          <w:sz w:val="22"/>
        </w:rPr>
        <w:t>means any variable life insurance policy under which both the amount and timing of premium payments are fixed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“Separate account” </w:t>
      </w:r>
      <w:r>
        <w:rPr>
          <w:rFonts w:ascii="Times New Roman" w:hAnsi="Times New Roman"/>
          <w:b w:val="false"/>
          <w:i w:val="false"/>
          <w:color w:val="000000"/>
          <w:sz w:val="22"/>
        </w:rPr>
        <w:t xml:space="preserve">means a separate account established pursuant to Iowa Code section </w:t>
      </w:r>
      <w:hyperlink r:id="rId12">
        <w:r>
          <w:rPr>
            <w:rStyle w:val="Hyperlink"/>
            <w:rFonts w:ascii="Times New Roman" w:hAnsi="Times New Roman"/>
            <w:b w:val="false"/>
            <w:i w:val="false"/>
            <w:color w:val="000000"/>
            <w:sz w:val="22"/>
          </w:rPr>
          <w:t>508A.1</w:t>
        </w:r>
      </w:hyperlink>
      <w:r>
        <w:rPr>
          <w:rFonts w:ascii="Times New Roman" w:hAnsi="Times New Roman"/>
          <w:b w:val="false"/>
          <w:i w:val="false"/>
          <w:color w:val="000000"/>
          <w:sz w:val="22"/>
        </w:rPr>
        <w:t xml:space="preserve"> or pursuant to the corresponding section of the insurance laws of the state of domicile of a foreign or alien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 </w:t>
      </w:r>
      <w:r>
        <w:rPr>
          <w:rFonts w:ascii="Times New Roman" w:hAnsi="Times New Roman"/>
          <w:b w:val="false"/>
          <w:i w:val="false"/>
          <w:color w:val="000000"/>
          <w:sz w:val="22"/>
        </w:rPr>
        <w:t>is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“Variable death benefit” </w:t>
      </w:r>
      <w:r>
        <w:rPr>
          <w:rFonts w:ascii="Times New Roman" w:hAnsi="Times New Roman"/>
          <w:b w:val="false"/>
          <w:i w:val="false"/>
          <w:color w:val="000000"/>
          <w:sz w:val="22"/>
        </w:rPr>
        <w:t>means the amount of death benefit, other than incidental insurance benefits, payable under a variable life insurance policy dependent on the investment performance of the separate account, which the insurer would have to pay in the absence of any minimum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“Variable life insurance policy” </w:t>
      </w:r>
      <w:r>
        <w:rPr>
          <w:rFonts w:ascii="Times New Roman" w:hAnsi="Times New Roman"/>
          <w:b w:val="false"/>
          <w:i w:val="false"/>
          <w:color w:val="000000"/>
          <w:sz w:val="22"/>
        </w:rPr>
        <w:t xml:space="preserve">means any individual policy which provides for life insurance the amount or duration of which varies according to the investment experience of any separate account or accounts established and maintained by the insurer as to such policy, pursuant to Iowa Code section </w:t>
      </w:r>
      <w:hyperlink r:id="rId13">
        <w:r>
          <w:rPr>
            <w:rStyle w:val="Hyperlink"/>
            <w:rFonts w:ascii="Times New Roman" w:hAnsi="Times New Roman"/>
            <w:b w:val="false"/>
            <w:i w:val="false"/>
            <w:color w:val="000000"/>
            <w:sz w:val="22"/>
          </w:rPr>
          <w:t>508A.1</w:t>
        </w:r>
      </w:hyperlink>
      <w:r>
        <w:rPr>
          <w:rFonts w:ascii="Times New Roman" w:hAnsi="Times New Roman"/>
          <w:b w:val="false"/>
          <w:i w:val="false"/>
          <w:color w:val="000000"/>
          <w:sz w:val="22"/>
        </w:rPr>
        <w:t xml:space="preserve"> or pursuant to the corresponding section of the insurance laws of the state of domicile of a foreign or alien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191—33.3</w:t>
      </w:r>
      <w:r>
        <w:rPr>
          <w:rFonts w:ascii="Times New Roman" w:hAnsi="Times New Roman"/>
          <w:b/>
          <w:i w:val="false"/>
          <w:color w:val="000000"/>
          <w:sz w:val="22"/>
        </w:rPr>
        <w:t xml:space="preserve">(508A) </w:t>
      </w:r>
      <w:r>
        <w:rPr>
          <w:rFonts w:ascii="Times New Roman" w:hAnsi="Times New Roman"/>
          <w:b/>
          <w:i w:val="false"/>
          <w:color w:val="000000"/>
          <w:sz w:val="22"/>
        </w:rPr>
        <w:t xml:space="preserve">Qualification of insurer to issue variable life insurance. </w:t>
      </w:r>
      <w:r>
        <w:rPr>
          <w:rFonts w:ascii="Times New Roman" w:hAnsi="Times New Roman"/>
          <w:b w:val="false"/>
          <w:i w:val="false"/>
          <w:color w:val="000000"/>
          <w:sz w:val="22"/>
        </w:rPr>
        <w:t>The following requirements are applicable to all insurers either seeking authority to issue variable life insurance in this state or having authority to issue variable life insurance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Licensing and approval to do business in this state. </w:t>
      </w:r>
      <w:r>
        <w:rPr>
          <w:rFonts w:ascii="Times New Roman" w:hAnsi="Times New Roman"/>
          <w:b w:val="false"/>
          <w:i w:val="false"/>
          <w:color w:val="000000"/>
          <w:sz w:val="22"/>
        </w:rPr>
        <w:t>An insurer shall not deliver or issue for delivery in this state any variable life insurance policy unless the insurer is licensed or organized to do a life insurance business in this state, and the insurer has obtained the written approval of the commissioner for the issuance of variable life insurance policies in this state. The commissioner shall grant such written approval only after the commissioner has found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of operation for the issuance of variable life insurance policies is not unsound;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general character, reputation, and experience of the management and those persons or firms proposed to supply consulting, investment, administrative, or custodial services to the insurer are such as to reasonably ensure competent operation of the variable life insurance business of the insurer 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present and foreseeable future financial condition of the insurer and its method of operation in connection with the issuance of such policies is not likely to render its operation hazardous to the public or its policyholders in this state. The commissioner shall consider, among other things: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history of operation and financial condition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qualifications, fitness, character, responsibility, reputation, and experience of the officers and directors and other management of the insurer and those persons or firms proposed to supply consulting, investment, administrative, or custodial services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law and regulations under which the insurer is authorized in its state of domicile to issue variable life insurance policies. The state of entry of an alien insurer shall be deemed its state of domicile for this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insurer is a subsidiary of, or is affiliated by common management or ownership with another company, its relationship to such other company and the degree to which the requesting insurer, as well as the other company, meet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 Filing for approval to do business in this state. </w:t>
      </w:r>
      <w:r>
        <w:rPr>
          <w:rFonts w:ascii="Times New Roman" w:hAnsi="Times New Roman"/>
          <w:b w:val="false"/>
          <w:i w:val="false"/>
          <w:color w:val="000000"/>
          <w:sz w:val="22"/>
        </w:rPr>
        <w:t xml:space="preserve">An insurer, before it delivers or issues for delivery any variable life insurance policy in this state, shall file with the commissioner the following information for the consideration of the commissioner in making the determination required by </w:t>
      </w:r>
      <w:hyperlink r:id="rId14">
        <w:r>
          <w:rPr>
            <w:rStyle w:val="Hyperlink"/>
            <w:rFonts w:ascii="Times New Roman" w:hAnsi="Times New Roman"/>
            <w:b w:val="false"/>
            <w:i w:val="false"/>
            <w:color w:val="000000"/>
            <w:sz w:val="22"/>
          </w:rPr>
          <w:t>subrule 33.3(1)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and a general description of the variable life insurance policies it intends to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methods of operation of the variable life insurance business of the insurer, including methods of distribution of policies and the names of those persons or firms proposed to supply consulting, investment, administrative, custodial or distribution services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 respect to any separate account maintained by an insurer for any variable life insurance policy, a statement of the investment policy the issuer intends to follow for the investment of the assets held in such separate account, and a statement of procedures for changing such investment policy. The statement of investment policy shall include a description of the investment objectives intended for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any investment advisory services contemplated as required by </w:t>
      </w:r>
      <w:hyperlink r:id="rId15">
        <w:r>
          <w:rPr>
            <w:rStyle w:val="Hyperlink"/>
            <w:rFonts w:ascii="Times New Roman" w:hAnsi="Times New Roman"/>
            <w:b w:val="false"/>
            <w:i w:val="false"/>
            <w:color w:val="000000"/>
            <w:sz w:val="22"/>
          </w:rPr>
          <w:t>subrule 33.6(10)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statutes and regulations of the state of domicile of the insurer under which it is authorized to issue variable life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Biographical data with respect to officers and directors of the insurer on the National Association of Insurance Commissioners Uniform Biographical Data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of the insurer’s actuary describing the mortality and expense risks which the insurer will bear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 Standards of suitability. </w:t>
      </w:r>
      <w:r>
        <w:rPr>
          <w:rFonts w:ascii="Times New Roman" w:hAnsi="Times New Roman"/>
          <w:b w:val="false"/>
          <w:i w:val="false"/>
          <w:color w:val="000000"/>
          <w:sz w:val="22"/>
        </w:rPr>
        <w:t>Every insurer seeking approval to enter into the variable life insurance business in this state shall establish and maintain a written statement specifying the standards of suitability to be used by the insurer. Such standards of suitability shall specify that no recommendations shall be made to an applicant to purchase a variable life insurance policy and that no variable life insurance policy shall be issued in the absence of reasonable grounds to believe that the purchase of such policy is not unsuitable for such applicant on the basis of information furnished after reasonable inquiry of such applicant concerning the applicant’s insurance and investment objectives, financial situation and needs, and any other information known to the insurer or to the agent making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 Use of sales materials. </w:t>
      </w:r>
      <w:r>
        <w:rPr>
          <w:rFonts w:ascii="Times New Roman" w:hAnsi="Times New Roman"/>
          <w:b w:val="false"/>
          <w:i w:val="false"/>
          <w:color w:val="000000"/>
          <w:sz w:val="22"/>
        </w:rPr>
        <w:t xml:space="preserve">An insurer authorized to transact variable life insurance business in this state shall not use any sales material, advertising material, or descriptive literature or other materials of any kind in connection with its variable life insurance business in this state which is false, misleading, deceptive, or inaccurate. Variable life insurance sales material, advertising material, and descriptive literature shall be subject to the additional requirements of </w:t>
      </w:r>
      <w:hyperlink r:id="rId16">
        <w:r>
          <w:rPr>
            <w:rStyle w:val="Hyperlink"/>
            <w:rFonts w:ascii="Times New Roman" w:hAnsi="Times New Roman"/>
            <w:b w:val="false"/>
            <w:i w:val="false"/>
            <w:color w:val="000000"/>
            <w:sz w:val="22"/>
          </w:rPr>
          <w:t>191—Chapter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color w:val="000000"/>
          <w:sz w:val="22"/>
        </w:rPr>
        <w:t xml:space="preserve"> Requirements applicable to contractual services. </w:t>
      </w:r>
      <w:r>
        <w:rPr>
          <w:rFonts w:ascii="Times New Roman" w:hAnsi="Times New Roman"/>
          <w:b w:val="false"/>
          <w:i w:val="false"/>
          <w:color w:val="000000"/>
          <w:sz w:val="22"/>
        </w:rPr>
        <w:t>Any material contract between an insurer and suppliers of consulting, investment, administrative, sales, marketing, custodial, or other services with respect to variable life insurance operations shall be in writing and provide that the supplier of such services shall furnish the commissioner with any information or reports in connection with such services which the commissioner may request in order to ascertain whether the variable life insurance operations of the insurer are being conducted in a manner consistent with this chapter and any other applicable law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w:t>
      </w:r>
      <w:r>
        <w:rPr>
          <w:rFonts w:ascii="Times New Roman" w:hAnsi="Times New Roman"/>
          <w:b w:val="false"/>
          <w:i w:val="false"/>
          <w:color w:val="000000"/>
          <w:sz w:val="22"/>
        </w:rPr>
        <w:t> </w:t>
      </w:r>
      <w:r>
        <w:rPr>
          <w:rFonts w:ascii="Times New Roman" w:hAnsi="Times New Roman"/>
          <w:b w:val="false"/>
          <w:i/>
          <w:color w:val="000000"/>
          <w:sz w:val="22"/>
        </w:rPr>
        <w:t xml:space="preserve"> Reports to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insurer authorized to transact the business of variable life insurance in this state shall submit to the commissioner, in addition to any other materials which may be required by this chapter or any other applicable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annual statement of the business of its separate account or accounts in such form as may be prescribed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use in this state any information furnished to applicants as provided for in </w:t>
      </w:r>
      <w:hyperlink r:id="rId17">
        <w:r>
          <w:rPr>
            <w:rStyle w:val="Hyperlink"/>
            <w:rFonts w:ascii="Times New Roman" w:hAnsi="Times New Roman"/>
            <w:b w:val="false"/>
            <w:i w:val="false"/>
            <w:color w:val="000000"/>
            <w:sz w:val="22"/>
          </w:rPr>
          <w:t>rule 191—33.7(508A)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use in this state the form of any of the reports to policyholders as provided for in </w:t>
      </w:r>
      <w:hyperlink r:id="rId18">
        <w:r>
          <w:rPr>
            <w:rStyle w:val="Hyperlink"/>
            <w:rFonts w:ascii="Times New Roman" w:hAnsi="Times New Roman"/>
            <w:b w:val="false"/>
            <w:i w:val="false"/>
            <w:color w:val="000000"/>
            <w:sz w:val="22"/>
          </w:rPr>
          <w:t>rule 191—33.9(508A)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concerning its variable life insurance operations or its separate accounts as the commissioner shall deem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material submitted to the commissioner under this subrule shall be disapproved if it is found to be false, misleading, deceptive, or inaccurate in any material respect and, if previously distributed, the commissioner shall require the distribution of amended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w:t>
      </w:r>
      <w:r>
        <w:rPr>
          <w:rFonts w:ascii="Times New Roman" w:hAnsi="Times New Roman"/>
          <w:b w:val="false"/>
          <w:i w:val="false"/>
          <w:color w:val="000000"/>
          <w:sz w:val="22"/>
        </w:rPr>
        <w:t> </w:t>
      </w:r>
      <w:r>
        <w:rPr>
          <w:rFonts w:ascii="Times New Roman" w:hAnsi="Times New Roman"/>
          <w:b w:val="false"/>
          <w:i/>
          <w:color w:val="000000"/>
          <w:sz w:val="22"/>
        </w:rPr>
        <w:t xml:space="preserve"> Authority of commissioner to disapprove. </w:t>
      </w:r>
      <w:r>
        <w:rPr>
          <w:rFonts w:ascii="Times New Roman" w:hAnsi="Times New Roman"/>
          <w:b w:val="false"/>
          <w:i w:val="false"/>
          <w:color w:val="000000"/>
          <w:sz w:val="22"/>
        </w:rPr>
        <w:t>Any material required to be filed with and approved by the commissioner shall be subject to disapproval if at any time it is found by the commissioner not to comply with the standards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191—33.4</w:t>
      </w:r>
      <w:r>
        <w:rPr>
          <w:rFonts w:ascii="Times New Roman" w:hAnsi="Times New Roman"/>
          <w:b/>
          <w:i w:val="false"/>
          <w:color w:val="000000"/>
          <w:sz w:val="22"/>
        </w:rPr>
        <w:t xml:space="preserve">(508A) </w:t>
      </w:r>
      <w:r>
        <w:rPr>
          <w:rFonts w:ascii="Times New Roman" w:hAnsi="Times New Roman"/>
          <w:b/>
          <w:i w:val="false"/>
          <w:color w:val="000000"/>
          <w:sz w:val="22"/>
        </w:rPr>
        <w:t xml:space="preserve">Insurance policy requirements. </w:t>
      </w:r>
      <w:r>
        <w:rPr>
          <w:rFonts w:ascii="Times New Roman" w:hAnsi="Times New Roman"/>
          <w:b w:val="false"/>
          <w:i w:val="false"/>
          <w:color w:val="000000"/>
          <w:sz w:val="22"/>
        </w:rPr>
        <w:t>The commissioner shall not approve any variable life insurance form filed pursuant to this chapter unless it conforms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color w:val="000000"/>
          <w:sz w:val="22"/>
        </w:rPr>
        <w:t xml:space="preserve"> Filing of variable life insurance policies. </w:t>
      </w:r>
      <w:r>
        <w:rPr>
          <w:rFonts w:ascii="Times New Roman" w:hAnsi="Times New Roman"/>
          <w:b w:val="false"/>
          <w:i w:val="false"/>
          <w:color w:val="000000"/>
          <w:sz w:val="22"/>
        </w:rPr>
        <w:t xml:space="preserve">Prior to delivery or issuance for delivery in this state, all variable life insurance policies, and all riders, endorsements, applications and other documents which are to be attached or made a part of the policy and which relate to the variable nature of the policy, shall be filed with the commissioner using the National Association of Insurance Commissioners’ System for Electronic Rate and Form Filing (SERFF) and shall be approved by the commissioner prior to delivery or issuance for delivery in this state. Insurance companies must comply with the commissioner’s requirements regarding filing, including SERFF general instructions, Iowa general instructions and the specific submission requirements for the type of insurance for which the companies are submitting documents, as set out on the SERFF website at </w:t>
      </w:r>
      <w:hyperlink r:id="rId19">
        <w:r>
          <w:rPr>
            <w:rStyle w:val="Hyperlink"/>
            <w:rFonts w:ascii="Times New Roman" w:hAnsi="Times New Roman"/>
            <w:b w:val="false"/>
            <w:i w:val="false"/>
            <w:color w:val="000000"/>
            <w:sz w:val="22"/>
            <w:u w:val="single"/>
          </w:rPr>
          <w:t>www.serff.org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procedures and requirements for such filing and approval shall be, to the extent appropriate and not inconsistent with this chapter, the same as those otherwise applicable to other life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approve variable life insurance policies and related forms with provisions the commissioner deems to be not less favorable to the policyholder and the beneficiary than those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filing which has not been previously approved, disapproved or questioned shall be deemed approved on or after 30 days from its receipt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color w:val="000000"/>
          <w:sz w:val="22"/>
        </w:rPr>
        <w:t xml:space="preserve"> Mandatory policy benefit and design requirements. </w:t>
      </w:r>
      <w:r>
        <w:rPr>
          <w:rFonts w:ascii="Times New Roman" w:hAnsi="Times New Roman"/>
          <w:b w:val="false"/>
          <w:i w:val="false"/>
          <w:color w:val="000000"/>
          <w:sz w:val="22"/>
        </w:rPr>
        <w:t>Variable life insurance policies delivered or issued for delivery in this state shall comply with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Mortality and expense risks shall be borne by the insurer. The mortality and expense charges shall be subject to the maximums stated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scheduled premium policies, a minimum death benefit shall be provided in an amount at least equal to the initial face amount of the policy so long as premiums are duly paid (subject to the provisions of </w:t>
      </w:r>
      <w:hyperlink r:id="rId20">
        <w:r>
          <w:rPr>
            <w:rStyle w:val="Hyperlink"/>
            <w:rFonts w:ascii="Times New Roman" w:hAnsi="Times New Roman"/>
            <w:b w:val="false"/>
            <w:i w:val="false"/>
            <w:color w:val="000000"/>
            <w:sz w:val="22"/>
          </w:rPr>
          <w:t>subrule 33.4(4)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policy shall reflect the investment experience of one or more separate accounts established and maintained by the insurer. The insurer must demonstrate that the reflection of investment experience in the variable life insurance policy is actuarially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variable life insurance policy shall be credited with the full amount of the net investment return applied to the benefit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changes in variable death benefits of each variable life insurance policy shall be determined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cash value of each variable life insurance policy shall be determined at least monthly. The method of computation of cash values and other nonforfeiture benefits, as described either in the policy or in a statement filed with the commissioner of the state in which the policy is delivered, or issued for delivery, shall be in accordance with actuarial procedures that recognize the variable nature of the policy. The method of computation must be such that, if the net investment return credited to the policy at all times from the date of issue should be equal to the assumed investment rate with premiums and benefits determined accordingly under the terms of the policy, then the resulting cash values to the minimum values required by Iowa Code section </w:t>
      </w:r>
      <w:hyperlink r:id="rId21">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 xml:space="preserve"> (Standard Nonforfeiture Law) for a general account policy with such premiums and benefits. The assumed investment rate shall not exceed the maximum interest rate permitted under the Standard Nonforfeiture Law of this state. If the policy does not contain an assumed investment rate this demonstration shall be based on the maximum interest rate permitted under the Standard Nonforfeiture Law. The method of computation may disregard incidental minimum guarantees as to the dollar amounts payable. Incidental minimum guarantees include, for example, but are not to be limited to, a guarantee that the amount payable at death or maturity shall be at least equal to the amount that otherwise would have been payable if the net investment return credited to the policy at all times from the date of issue had been equal to the assumed investment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computation of values required for each variable life insurance policy may be based upon such reasonable and necessary approximations as are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33.4(3)</w:t>
      </w:r>
      <w:r>
        <w:rPr>
          <w:rFonts w:ascii="Times New Roman" w:hAnsi="Times New Roman"/>
          <w:b w:val="false"/>
          <w:i w:val="false"/>
          <w:color w:val="000000"/>
          <w:sz w:val="22"/>
        </w:rPr>
        <w:t> </w:t>
      </w:r>
      <w:r>
        <w:rPr>
          <w:rFonts w:ascii="Times New Roman" w:hAnsi="Times New Roman"/>
          <w:b w:val="false"/>
          <w:i/>
          <w:color w:val="000000"/>
          <w:sz w:val="22"/>
        </w:rPr>
        <w:t xml:space="preserve">Mandatory policy provisions. </w:t>
      </w:r>
      <w:r>
        <w:rPr>
          <w:rFonts w:ascii="Times New Roman" w:hAnsi="Times New Roman"/>
          <w:b w:val="false"/>
          <w:i w:val="false"/>
          <w:color w:val="000000"/>
          <w:sz w:val="22"/>
        </w:rPr>
        <w:t>Every variable life insurance policy filed for approval in this state shall contain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cover page or pages corresponding to the cover page of each such policy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prominent statement in either contrasting color or in bold-faced type that the amount or duration of death benefit may be variable or fixed under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prominent statement in either contrasting color or in bold-faced type that cash values may increase or decrease in accordance with the experience of the separate account subject to any specified minimum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describing any minimum death benefit required pursuant to </w:t>
      </w:r>
      <w:hyperlink r:id="rId22">
        <w:r>
          <w:rPr>
            <w:rStyle w:val="Hyperlink"/>
            <w:rFonts w:ascii="Times New Roman" w:hAnsi="Times New Roman"/>
            <w:b w:val="false"/>
            <w:i w:val="false"/>
            <w:color w:val="000000"/>
            <w:sz w:val="22"/>
          </w:rPr>
          <w:t>subrule 33.4(2)</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method, or a reference to the policy provision which describes the method, for determining the amount of insurance payable at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captioned provision that the policyholder may return the variable life insurance policy within ten days of receipt of the policy by the policyholder, and receive a refund equal to the sum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difference between the premiums paid including any policy fees or other charges and the amounts allocated to any separate accounts under the policy;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value of the amounts allocated to any separate accounts under the policy, on the date the returned policy is received by the insurer or its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other items as are currently required for fixed benefit life insurance policies and which are not inconsistent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scheduled premium policies, a provision for a grace period of not less than 31 days from the premium due date which shall provide that when the premium is paid within the grace period, policy values will be the same, except for the deduction of any overdue premium, as if the premium were paid on or before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flexible premium policies, a provision for a grace period beginning on the policy processing day when the total charges authorized by the policy that are necessary to keep the policy in force until the next policy processing day exceed the amount available under the policy to pay such charges in accordance with the terms of the policy. Such grace period shall end on a date not less than 61 days after the mailing date of the report to policyholders required by </w:t>
      </w:r>
      <w:hyperlink r:id="rId23">
        <w:r>
          <w:rPr>
            <w:rStyle w:val="Hyperlink"/>
            <w:rFonts w:ascii="Times New Roman" w:hAnsi="Times New Roman"/>
            <w:b w:val="false"/>
            <w:i w:val="false"/>
            <w:color w:val="000000"/>
            <w:sz w:val="22"/>
          </w:rPr>
          <w:t>subrule 33.9(3)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death benefit payable during the grace period will equal the death benefit in effect immediately prior to such period less any overdue charges. If the policy processing days occur monthly, the insurer may require the payment of not more than three times the charges which were due on the policy processing day on which the amounts available under the policy were insufficient to pay all charges authorized by the policy that are necessary to keep such policy in force until the next policy processing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scheduled premium policies, a provision that the policy will be reinstated at any time within two years from the date of default upon the written application of the insured and evidence of insurability, including good health, satisfactory to the insurer, unless the cash surrender value has been paid or the period of extended insurance has expired, upon the payment of any outstanding indebtedness arising subsequent to the end of the grace period following the date of default together with accrued interest thereon to the date of reinstatement and payment of an amount not exceeding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overdue premiums with interest at a rate not exceeding the legally permissible maximum rate of interest compounded annually and any indebtedness in effect at the end of the grace period following the date of default with interest at a rate not exceeding the legally permissible maximum rate of interest compounded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hundred ten percent of the increase in cash value resulting from reinstatement plus all overdue premiums for incidental insurance benefits with interest at a rate not exceeding the legally permissible maximum rate of interest compounded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full description of the benefit base and of the method of calculation and application of any factors used to adjust variable benefits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designating the separate account to be used and stating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assets of such separate account shall be available to cover the liabilities of the general account of the insurer only to the extent that the assets of the separate account exceed the liabilities of the separate account arising under the variable life insurance policies supported by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assets of such separate account shall be valued at least as often as any policy benefits vary but at least monthly.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 specifying what documents constitute the entire insurance contract under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designation of the officers who are empowered to make an agreement or representation on behalf of the insurer and an indication that statements by the insured, or on behalf of the insured, shall be considered as representations and not warranties;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owner of the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provision setting forth conditions or requirements as to the designation, or change of designation, of a beneficiary and a provision for disbursement of benefits in the absence of a beneficiary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statement of any conditions or requirements concerning the assignment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any adjustments in policy values to be made in the event of misstatement of age or sex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provision that the policy shall be incontestable by the insurer after it has been in force for two years during the lifetime of the insured, provided, however, that any increase in the amount of the policy’s death benefits subsequent to the policy issue date, which increase occurred upon a new application or request of the owner and was subject to satisfactory proof of the insured’s insurability, shall be incontestable after any such increase has been in force, during the lifetime of the insured, for two years from the date of issue of such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provision stating that the investment policy of the separate account shall not be changed without the approval of the insurance commissioner of the state of domicile of the insurer, and that the approval process is on file with the commissioner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provision that payment of variable death benefits in excess of any minimum death benefits, cash values, policy loans, or partial withdrawals (except when used to pay premiums) or partial surrenders may be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up to six months from the date of request, if such payments are based on policy values which do not depend on the investment performance of the separate account,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for any period during which the New York Stock Exchange is closed for trading (except for normal holiday closing) or when the Securities and Exchange Commission has determined that a state of emergency exists which may make such payment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If settlement options are provided, at least one such option shall be provided on a fixed basis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for computing the cash value and the surrender value under the policy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Premiums or charges for incidental insurance benefits shall be stated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Any other policy provision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Such other items as are currently required for fixed benefit life insurance policies and are not inconsistent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 provision for nonforfeiture insurance benefits. The insurer may establish a reasonable minimum cash value below which any nonforfeiture insurance options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33.4(4)</w:t>
      </w:r>
      <w:r>
        <w:rPr>
          <w:rFonts w:ascii="Times New Roman" w:hAnsi="Times New Roman"/>
          <w:b w:val="false"/>
          <w:i w:val="false"/>
          <w:color w:val="000000"/>
          <w:sz w:val="22"/>
        </w:rPr>
        <w:t> </w:t>
      </w:r>
      <w:r>
        <w:rPr>
          <w:rFonts w:ascii="Times New Roman" w:hAnsi="Times New Roman"/>
          <w:b w:val="false"/>
          <w:i/>
          <w:color w:val="000000"/>
          <w:sz w:val="22"/>
        </w:rPr>
        <w:t xml:space="preserve"> Policy loan provisions. </w:t>
      </w:r>
      <w:r>
        <w:rPr>
          <w:rFonts w:ascii="Times New Roman" w:hAnsi="Times New Roman"/>
          <w:b w:val="false"/>
          <w:i w:val="false"/>
          <w:color w:val="000000"/>
          <w:sz w:val="22"/>
        </w:rPr>
        <w:t>Every variable life insurance policy, other than term insurance policies and pure endowment policies, delivered or issued for delivery in this state shall contain provisions which are not less favorable to the policyholder than the following with respect to policy loans after the policy has been in force for five full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75 percent of the policy’s cash surrender value may be borrowed.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borrowed shall bear interest at a rate not to exceed that permitted by state insurance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indebtedness shall be deducted from the proceeds payable on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indebtedness shall be deducted from the cash surrender value upon surrender or in determining any nonforfeiture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scheduled premium policies, whenever the indebtedness exceeds the cash surrender value, the insurer shall give notice of any intent to cancel the policy if the excess indebtedness is not repaid within 31 days after the date of mailing of such notice. For flexible premium policies, whenever the total charges authorized by the policy that are necessary to keep the policy in force until the next following policy processing day exceed the amounts available under the policy to pay such charges, a report must be sent to the policyholder containing the information specified by </w:t>
      </w:r>
      <w:hyperlink r:id="rId24">
        <w:r>
          <w:rPr>
            <w:rStyle w:val="Hyperlink"/>
            <w:rFonts w:ascii="Times New Roman" w:hAnsi="Times New Roman"/>
            <w:b w:val="false"/>
            <w:i w:val="false"/>
            <w:color w:val="000000"/>
            <w:sz w:val="22"/>
          </w:rPr>
          <w:t>subrule 33.9(3)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policy may provide that if, at any time, so long as premiums are duly paid, the variable death benefit is less than it would have been if no loan or withdrawal had ever been made, the policyholder may increase such variable death benefit up to what it would have been if there had been no loan or withdrawal by paying an amount not exceeding 110 percent of the corresponding increase in cash value and by furnishing such evidence of insurability as the insurer may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policy may specify a reasonable minimum amount which may be borrowed at any time but such minimum shall not apply to any automatic premium loan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policy loan provision is required if the policy is under an extended insurance nonforfeiture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policy loan provisions shall be constructed so that variable life insurance policyholders who have not exercised such provisions are not disadvantaged by the exercise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Amounts paid to the policyholders upon the exercise of any policy loan provision shall be withdrawn from the separate account and shall be returned to the separate account upon repayment except that a stock insurer may provide the amounts for policy loans from the general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33.4(5)</w:t>
      </w:r>
      <w:r>
        <w:rPr>
          <w:rFonts w:ascii="Times New Roman" w:hAnsi="Times New Roman"/>
          <w:b w:val="false"/>
          <w:i w:val="false"/>
          <w:color w:val="000000"/>
          <w:sz w:val="22"/>
        </w:rPr>
        <w:t> </w:t>
      </w:r>
      <w:r>
        <w:rPr>
          <w:rFonts w:ascii="Times New Roman" w:hAnsi="Times New Roman"/>
          <w:b w:val="false"/>
          <w:i/>
          <w:color w:val="000000"/>
          <w:sz w:val="22"/>
        </w:rPr>
        <w:t xml:space="preserve"> Other policy provisions. </w:t>
      </w:r>
      <w:r>
        <w:rPr>
          <w:rFonts w:ascii="Times New Roman" w:hAnsi="Times New Roman"/>
          <w:b w:val="false"/>
          <w:i w:val="false"/>
          <w:color w:val="000000"/>
          <w:sz w:val="22"/>
        </w:rPr>
        <w:t>The following provision may in substance be included in a variable life insurance policy or related form delivered or issued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exclusion for suicide within two years of the issue date of the policy; provided, however, that to the extent of the increased death benefits only, the policy may provide an exclusion for suicide within two years of any increase in death benefits which results from an application of the owner subsequent to the policy issue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Incidental insurance benefits may be offered on a fixed or variable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issued on a participating basis shall offer to pay dividend amounts in cash. In addition, such policies may offer the following dividend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dividend may be credited against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dividend may be applied to provide amounts of additional fixed or variable benefit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dividend may be deposited in the general account at a specified minimum rate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dividend may be applied to provide paid-up amounts of fixed benefit one-year term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the dividend may be deposited as a variable deposit in a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allowing the policyholder to elect in writing in the application for the policy or thereafter an automatic premium loan on a basis not less favorable than that required of policy loans under </w:t>
      </w:r>
      <w:hyperlink r:id="rId25">
        <w:r>
          <w:rPr>
            <w:rStyle w:val="Hyperlink"/>
            <w:rFonts w:ascii="Times New Roman" w:hAnsi="Times New Roman"/>
            <w:b w:val="false"/>
            <w:i w:val="false"/>
            <w:color w:val="000000"/>
            <w:sz w:val="22"/>
          </w:rPr>
          <w:t>subrule 33.4(4)</w:t>
        </w:r>
      </w:hyperlink>
      <w:r>
        <w:rPr>
          <w:rFonts w:ascii="Times New Roman" w:hAnsi="Times New Roman"/>
          <w:b w:val="false"/>
          <w:i w:val="false"/>
          <w:color w:val="000000"/>
          <w:sz w:val="22"/>
        </w:rPr>
        <w:t>, except that a restriction that no more than two consecutive premiums can be paid under this provision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allowing the policyholder to make partial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policy provision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191—33.5</w:t>
      </w:r>
      <w:r>
        <w:rPr>
          <w:rFonts w:ascii="Times New Roman" w:hAnsi="Times New Roman"/>
          <w:b/>
          <w:i w:val="false"/>
          <w:color w:val="000000"/>
          <w:sz w:val="22"/>
        </w:rPr>
        <w:t xml:space="preserve">(508A) </w:t>
      </w:r>
      <w:r>
        <w:rPr>
          <w:rFonts w:ascii="Times New Roman" w:hAnsi="Times New Roman"/>
          <w:b/>
          <w:i w:val="false"/>
          <w:color w:val="000000"/>
          <w:sz w:val="22"/>
        </w:rPr>
        <w:t xml:space="preserve">Reserve liabilities for variable life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 liabilities for variable life insurance policies shall be established under the Standard Valuation Law (Iowa Code section </w:t>
      </w:r>
      <w:hyperlink r:id="rId2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in accordance with actuarial procedures that recognize the variable nature of the benefits provided and any mortality guarantees.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val="false"/>
          <w:color w:val="000000"/>
          <w:sz w:val="22"/>
        </w:rPr>
        <w:t>For scheduled premium policies, reserve liabilities for the guaranteed minimum death benefit shall be the reserve needed to provide for the contingency of death occurring when the guaranteed minimum death benefit exceeds the death benefit that would be paid in the absence of the guarantee, and shall be maintained in the general account of the insurer and shall be not less than the greater of the following minimum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total of the term costs, if any, covering a period of one full year from the valuation date, of the guarantee on each variable life insurance contract, assuming an immediate one-third depreciation in the current value of the assets of the separate account followed by a net investment return equal to the assumed investment 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aggregate total of the “attained age level” reserved on each variable life insurance contract. The “attained age level” reserve on each variable life insurance contract shall not be less than zero and shall equal the “residue,” as described in </w:t>
      </w:r>
      <w:hyperlink r:id="rId27">
        <w:r>
          <w:rPr>
            <w:rStyle w:val="Hyperlink"/>
            <w:rFonts w:ascii="Times New Roman" w:hAnsi="Times New Roman"/>
            <w:b w:val="false"/>
            <w:i w:val="false"/>
            <w:color w:val="000000"/>
            <w:sz w:val="22"/>
          </w:rPr>
          <w:t>subrule 33.5(2)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subparagraph (1), of the prior year’s “attained age level” reserve on the contract, with any such “residue,” increased or decreased by a payment computed on an attained age basis as described in </w:t>
      </w:r>
      <w:hyperlink r:id="rId28">
        <w:r>
          <w:rPr>
            <w:rStyle w:val="Hyperlink"/>
            <w:rFonts w:ascii="Times New Roman" w:hAnsi="Times New Roman"/>
            <w:b w:val="false"/>
            <w:i w:val="false"/>
            <w:color w:val="000000"/>
            <w:sz w:val="22"/>
          </w:rPr>
          <w:t>subrule 33.5(2)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subparagraph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“residue” of the prior year’s “attained age level” reserve on each variable life insurance contract shall not be less than zero and shall be determined by adding interest in the valuation interest rate to such prior year’s reserve, deducting the tabular claims based on the “excess,” if any, of the guaranteed minimum death benefit over the death benefit that would be payable in the absence of such guarantee, and dividing the net result by the tabular probability of survival. The “excess” referred to in the preceding sentence shall be based on the actual level of death benefits that would have been in effect during the preceding year in the absence of the guarantee, taking appropriate account of the reserve assumptions regarding the distribution of death claim payments over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payment referred to in </w:t>
      </w:r>
      <w:hyperlink r:id="rId29">
        <w:r>
          <w:rPr>
            <w:rStyle w:val="Hyperlink"/>
            <w:rFonts w:ascii="Times New Roman" w:hAnsi="Times New Roman"/>
            <w:b w:val="false"/>
            <w:i w:val="false"/>
            <w:color w:val="000000"/>
            <w:sz w:val="22"/>
          </w:rPr>
          <w:t>subrule 33.5(2)</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“b,”</w:t>
      </w:r>
      <w:r>
        <w:rPr>
          <w:rFonts w:ascii="Times New Roman" w:hAnsi="Times New Roman"/>
          <w:b w:val="false"/>
          <w:i w:val="false"/>
          <w:color w:val="000000"/>
          <w:sz w:val="22"/>
        </w:rPr>
        <w:t xml:space="preserve"> shall be computed so that the present value of a level payment of that amount each year over the future premium paying period of the contract is equal to A minus B minus C, where A is the present value of the future guaranteed minimum death benefits, B is the present value of the future death benefits that would be payable in the absence of such guarantee, and C is any “residue,” as described in </w:t>
      </w:r>
      <w:hyperlink r:id="rId30">
        <w:r>
          <w:rPr>
            <w:rStyle w:val="Hyperlink"/>
            <w:rFonts w:ascii="Times New Roman" w:hAnsi="Times New Roman"/>
            <w:b w:val="false"/>
            <w:i w:val="false"/>
            <w:color w:val="000000"/>
            <w:sz w:val="22"/>
          </w:rPr>
          <w:t>subrule 33.5(2)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subparagraph (1), of the prior year’s “attained age level” reserve on such variable life insurance contract. If the contract is paid-up, the payment shall equal A minus B minus C. The amounts of future death benefits referred to in B shall be computed assuming a net investment return of the separate account which may differ from the assumed investment rate or the valuation interest but in no event may exceed the maximum interest rate permitted for the valuation of life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valuation interest rate and mortality table used in computing the two minimum reserves described in </w:t>
      </w:r>
      <w:hyperlink r:id="rId31">
        <w:r>
          <w:rPr>
            <w:rStyle w:val="Hyperlink"/>
            <w:rFonts w:ascii="Times New Roman" w:hAnsi="Times New Roman"/>
            <w:b w:val="false"/>
            <w:i w:val="false"/>
            <w:color w:val="000000"/>
            <w:sz w:val="22"/>
          </w:rPr>
          <w:t>subrules 33.5(2)</w:t>
        </w:r>
      </w:hyperlink>
      <w:r>
        <w:rPr>
          <w:rFonts w:ascii="Times New Roman" w:hAnsi="Times New Roman"/>
          <w:b w:val="false"/>
          <w:i w:val="false"/>
          <w:color w:val="000000"/>
          <w:sz w:val="22"/>
        </w:rPr>
        <w:t>, paragraphs</w:t>
      </w:r>
      <w:r>
        <w:rPr>
          <w:rFonts w:ascii="Times New Roman" w:hAnsi="Times New Roman"/>
          <w:b w:val="false"/>
          <w:i/>
          <w:color w:val="000000"/>
          <w:sz w:val="22"/>
        </w:rPr>
        <w:t xml:space="preserve"> “a”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“b,” </w:t>
      </w:r>
      <w:r>
        <w:rPr>
          <w:rFonts w:ascii="Times New Roman" w:hAnsi="Times New Roman"/>
          <w:b w:val="false"/>
          <w:i w:val="false"/>
          <w:color w:val="000000"/>
          <w:sz w:val="22"/>
        </w:rPr>
        <w:t>shall conform to permissible standards for the valuation of life insurance contracts. In determining such minimum reserve, the company may employ suitable approximations and estimates, including but not limited to groupings and averages.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33.5(3)</w:t>
      </w:r>
      <w:r>
        <w:rPr>
          <w:rFonts w:ascii="Times New Roman" w:hAnsi="Times New Roman"/>
          <w:b w:val="false"/>
          <w:i w:val="false"/>
          <w:color w:val="000000"/>
          <w:sz w:val="22"/>
        </w:rPr>
        <w:t> </w:t>
      </w:r>
      <w:r>
        <w:rPr>
          <w:rFonts w:ascii="Times New Roman" w:hAnsi="Times New Roman"/>
          <w:b w:val="false"/>
          <w:i w:val="false"/>
          <w:color w:val="000000"/>
          <w:sz w:val="22"/>
        </w:rPr>
        <w:t>For flexible premium policies, reserve liabilities for any guaranteed minimum death benefit shall be maintained in the general account of the insurer and shall be not less than the aggregate total of the term costs, if any, covering the period provided for in the guarantee not otherwise provided for by the reserves held in the separate account assuming an immediate one-third depreciation in the current value of the assets of the separate account followed by a net investment return equal to the valuation interest rate.</w:t>
      </w:r>
    </w:p>
    <w:p>
      <w:pPr>
        <w:spacing w:before="0" w:after="0"/>
        <w:ind w:left="120"/>
        <w:jc w:val="both"/>
      </w:pPr>
      <w:r>
        <w:rPr>
          <w:rFonts w:ascii="Times New Roman" w:hAnsi="Times New Roman"/>
          <w:b w:val="false"/>
          <w:i w:val="false"/>
          <w:color w:val="000000"/>
          <w:sz w:val="22"/>
        </w:rPr>
        <w:t>The valuation interest rate and mortality table used in computing this additional reserve, if any, shall conform to permissible standards for the valuation of life insurance contracts. In determining such minimum reserve, the company may employ suitable approximations and estimates, including but not limited to groupings and averages.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33.5(4)</w:t>
      </w:r>
      <w:r>
        <w:rPr>
          <w:rFonts w:ascii="Times New Roman" w:hAnsi="Times New Roman"/>
          <w:b w:val="false"/>
          <w:i w:val="false"/>
          <w:color w:val="000000"/>
          <w:sz w:val="22"/>
        </w:rPr>
        <w:t> </w:t>
      </w:r>
      <w:r>
        <w:rPr>
          <w:rFonts w:ascii="Times New Roman" w:hAnsi="Times New Roman"/>
          <w:b w:val="false"/>
          <w:i w:val="false"/>
          <w:color w:val="000000"/>
          <w:sz w:val="22"/>
        </w:rPr>
        <w:t>Reserve liabilities for all fixed incidental insurance benefits and any guarantees associated with variable incidental insurance benefits shall be maintained in the general account and reserve liabilities for all variable aspects of the variable incidental insurance benefits shall be maintained in a separate account, in amounts determined in accordance with the actuarial procedures appropriate to such benefit.</w:t>
      </w:r>
    </w:p>
    <w:p>
      <w:pPr>
        <w:spacing w:before="0" w:after="0"/>
        <w:ind w:left="120"/>
        <w:jc w:val="both"/>
      </w:pPr>
      <w:r>
        <w:rPr>
          <w:rFonts w:ascii="Times New Roman" w:hAnsi="Times New Roman"/>
          <w:b/>
          <w:i w:val="false"/>
          <w:color w:val="000000"/>
          <w:sz w:val="22"/>
        </w:rPr>
        <w:t>191—33.6</w:t>
      </w:r>
      <w:r>
        <w:rPr>
          <w:rFonts w:ascii="Times New Roman" w:hAnsi="Times New Roman"/>
          <w:b/>
          <w:i w:val="false"/>
          <w:color w:val="000000"/>
          <w:sz w:val="22"/>
        </w:rPr>
        <w:t xml:space="preserve">(508A) </w:t>
      </w:r>
      <w:r>
        <w:rPr>
          <w:rFonts w:ascii="Times New Roman" w:hAnsi="Times New Roman"/>
          <w:b/>
          <w:i w:val="false"/>
          <w:color w:val="000000"/>
          <w:sz w:val="22"/>
        </w:rPr>
        <w:t xml:space="preserve">Separate accounts. </w:t>
      </w:r>
      <w:r>
        <w:rPr>
          <w:rFonts w:ascii="Times New Roman" w:hAnsi="Times New Roman"/>
          <w:b w:val="false"/>
          <w:i w:val="false"/>
          <w:color w:val="000000"/>
          <w:sz w:val="22"/>
        </w:rPr>
        <w:t>The following requirements apply to the establishment and administration of variable life insurance separate accounts by any domestic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color w:val="000000"/>
          <w:sz w:val="22"/>
        </w:rPr>
        <w:t xml:space="preserve"> Establishment and administration of separate accounts. </w:t>
      </w:r>
      <w:r>
        <w:rPr>
          <w:rFonts w:ascii="Times New Roman" w:hAnsi="Times New Roman"/>
          <w:b w:val="false"/>
          <w:i w:val="false"/>
          <w:color w:val="000000"/>
          <w:sz w:val="22"/>
        </w:rPr>
        <w:t xml:space="preserve">Any domestic insurer issuing variable life insurance shall establish one or more separate accounts pursuant to Iowa Code section </w:t>
      </w:r>
      <w:hyperlink r:id="rId32">
        <w:r>
          <w:rPr>
            <w:rStyle w:val="Hyperlink"/>
            <w:rFonts w:ascii="Times New Roman" w:hAnsi="Times New Roman"/>
            <w:b w:val="false"/>
            <w:i w:val="false"/>
            <w:color w:val="000000"/>
            <w:sz w:val="22"/>
          </w:rPr>
          <w:t>508A.1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law or other regulation provides for the custody of separate account assets and if such insurer is not the custodian of such separate account assets, all contracts for custody of such assets shall be in writing and the commissioner shall have authority to review and approve of both the terms of any such contract and the proposed custodian prior to the transfer of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Such insurer shall not without prior written approval of the commissioner employ in any material connection with the handling of separate account assets any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the last ten years has been convicted of any felony or a misdemeanor arising out of such person’s conduct involving embezzlement, fraudulent conversion, or misappropriation of funds or securities or involving violation of Section 1341, 1342, or 1343 of Title 18, United States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the last ten years has been found by any state regulatory authority to have violated or has acknowledged violation of any provision of any state insurance law involving fraud, deceit, or knowing misrepresentation;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the last ten years has been found by federal or state regulatory authorities to have violated or has acknowledged violation of any provision of federal or state securities laws involving fraud, deceit, or knowing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persons with access to the cash, securities, or other assets of the separate account shall be under bond in the amount of not less than the greater of the amount required pursuant to Section 17(g) of the Investment Company Act of 1940 or such other amount as the commissioner may deem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assets of such separate accounts shall be valued at least as often as variable benefits are determined but in any event at least monthly.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color w:val="000000"/>
          <w:sz w:val="22"/>
        </w:rPr>
        <w:t xml:space="preserve"> Amounts in the separate account. </w:t>
      </w:r>
      <w:r>
        <w:rPr>
          <w:rFonts w:ascii="Times New Roman" w:hAnsi="Times New Roman"/>
          <w:b w:val="false"/>
          <w:i w:val="false"/>
          <w:color w:val="000000"/>
          <w:sz w:val="22"/>
        </w:rPr>
        <w:t>The insurer shall maintain in each separate account assets with a value at least equal to the greater of the valuation reserves for the variable portion of the variable life insurance policies or the benefit base for such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33.6(3)</w:t>
      </w:r>
      <w:r>
        <w:rPr>
          <w:rFonts w:ascii="Times New Roman" w:hAnsi="Times New Roman"/>
          <w:b w:val="false"/>
          <w:i w:val="false"/>
          <w:color w:val="000000"/>
          <w:sz w:val="22"/>
        </w:rPr>
        <w:t> </w:t>
      </w:r>
      <w:r>
        <w:rPr>
          <w:rFonts w:ascii="Times New Roman" w:hAnsi="Times New Roman"/>
          <w:b w:val="false"/>
          <w:i/>
          <w:color w:val="000000"/>
          <w:sz w:val="22"/>
        </w:rPr>
        <w:t xml:space="preserve"> Investments by the separate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sale, exchange, or other transfer of assets may be made by an insurer or any of its affiliates between any of its separate accounts or between any other investment account and one or more of its separate accounts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 of a transfer into a separate account, such transfer is made solely to establish the account or to support the operation of the policies with respect to the separate account to which the transfer is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transfer, whether into or from a separate account, is made by a transfer of cash; but other assets may be transferred if approved by the commissioner in advance.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separate account shall have sufficient net investment income and readily marketable assets to meet anticipated withdrawals under policies funded by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33.6(4)</w:t>
      </w:r>
      <w:r>
        <w:rPr>
          <w:rFonts w:ascii="Times New Roman" w:hAnsi="Times New Roman"/>
          <w:b w:val="false"/>
          <w:i w:val="false"/>
          <w:color w:val="000000"/>
          <w:sz w:val="22"/>
        </w:rPr>
        <w:t> </w:t>
      </w:r>
      <w:r>
        <w:rPr>
          <w:rFonts w:ascii="Times New Roman" w:hAnsi="Times New Roman"/>
          <w:b w:val="false"/>
          <w:i/>
          <w:color w:val="000000"/>
          <w:sz w:val="22"/>
        </w:rPr>
        <w:t xml:space="preserve"> Limitations on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separate account shall not purchase or otherwise acquire the securities of any issuer, other than securities issued or guaranteed as to principal and interest by the United States, if immediately after the purchase or acquisition the value of such investment, together with prior investments of such account in such security valued as required by this chapter, would exceed 10 percent of the value of the assets of the separate account. The commissioner may waive this limitation in writing if the commissioner believes such waiver will not render the operation of the separate account hazardous to the public or the policyholders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separate account shall purchase or otherwise acquire the voting securities of any issuer if as a result of such acquisition the insurer and its separate accounts in the aggregate, will own more than 10 percent of the total issued and outstanding voting securities of such issuer. The commissioner may waive this limitation in writing if the commissioner believes the waiver will not render the operation of the separate account hazardous to the public or the policyholders in this state or jeopardize the independent operation of the issuer of such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percentage limitation specified in </w:t>
      </w:r>
      <w:hyperlink r:id="rId33">
        <w:r>
          <w:rPr>
            <w:rStyle w:val="Hyperlink"/>
            <w:rFonts w:ascii="Times New Roman" w:hAnsi="Times New Roman"/>
            <w:b w:val="false"/>
            <w:i w:val="false"/>
            <w:color w:val="000000"/>
            <w:sz w:val="22"/>
          </w:rPr>
          <w:t>subrule 33.6(4)</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“a,” </w:t>
      </w:r>
      <w:r>
        <w:rPr>
          <w:rFonts w:ascii="Times New Roman" w:hAnsi="Times New Roman"/>
          <w:b w:val="false"/>
          <w:i w:val="false"/>
          <w:color w:val="000000"/>
          <w:sz w:val="22"/>
        </w:rPr>
        <w:t xml:space="preserve">shall not be construed to preclude the investment of the assets of separate accounts in shares of investment companies registered pursuant to the Investment Company Act of 1940 or other pools of investment assets if the investments and investment policies of such investment companies or asset pools comply substantially with the provisions of </w:t>
      </w:r>
      <w:hyperlink r:id="rId34">
        <w:r>
          <w:rPr>
            <w:rStyle w:val="Hyperlink"/>
            <w:rFonts w:ascii="Times New Roman" w:hAnsi="Times New Roman"/>
            <w:b w:val="false"/>
            <w:i w:val="false"/>
            <w:color w:val="000000"/>
            <w:sz w:val="22"/>
          </w:rPr>
          <w:t>subrule 33.6(3)</w:t>
        </w:r>
      </w:hyperlink>
      <w:r>
        <w:rPr>
          <w:rFonts w:ascii="Times New Roman" w:hAnsi="Times New Roman"/>
          <w:b w:val="false"/>
          <w:i w:val="false"/>
          <w:color w:val="000000"/>
          <w:sz w:val="22"/>
        </w:rPr>
        <w:t xml:space="preserve"> and other applicable portions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33.6(5)</w:t>
      </w:r>
      <w:r>
        <w:rPr>
          <w:rFonts w:ascii="Times New Roman" w:hAnsi="Times New Roman"/>
          <w:b w:val="false"/>
          <w:i w:val="false"/>
          <w:color w:val="000000"/>
          <w:sz w:val="22"/>
        </w:rPr>
        <w:t> </w:t>
      </w:r>
      <w:r>
        <w:rPr>
          <w:rFonts w:ascii="Times New Roman" w:hAnsi="Times New Roman"/>
          <w:b w:val="false"/>
          <w:i/>
          <w:color w:val="000000"/>
          <w:sz w:val="22"/>
        </w:rPr>
        <w:t xml:space="preserve"> Valuation of separate account assets. </w:t>
      </w:r>
      <w:r>
        <w:rPr>
          <w:rFonts w:ascii="Times New Roman" w:hAnsi="Times New Roman"/>
          <w:b w:val="false"/>
          <w:i w:val="false"/>
          <w:color w:val="000000"/>
          <w:sz w:val="22"/>
        </w:rPr>
        <w:t>Investments of the separate account shall be valued at their market value on the date of valuation, or at amortized cost if it approximates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33.6(6)</w:t>
      </w:r>
      <w:r>
        <w:rPr>
          <w:rFonts w:ascii="Times New Roman" w:hAnsi="Times New Roman"/>
          <w:b w:val="false"/>
          <w:i w:val="false"/>
          <w:color w:val="000000"/>
          <w:sz w:val="22"/>
        </w:rPr>
        <w:t> </w:t>
      </w:r>
      <w:r>
        <w:rPr>
          <w:rFonts w:ascii="Times New Roman" w:hAnsi="Times New Roman"/>
          <w:b w:val="false"/>
          <w:i/>
          <w:color w:val="000000"/>
          <w:sz w:val="22"/>
        </w:rPr>
        <w:t xml:space="preserve"> Separate account investment policy. </w:t>
      </w:r>
      <w:r>
        <w:rPr>
          <w:rFonts w:ascii="Times New Roman" w:hAnsi="Times New Roman"/>
          <w:b w:val="false"/>
          <w:i w:val="false"/>
          <w:color w:val="000000"/>
          <w:sz w:val="22"/>
        </w:rPr>
        <w:t xml:space="preserve">The investment policy of a separate account operated by a domestic insurer filed under </w:t>
      </w:r>
      <w:hyperlink r:id="rId35">
        <w:r>
          <w:rPr>
            <w:rStyle w:val="Hyperlink"/>
            <w:rFonts w:ascii="Times New Roman" w:hAnsi="Times New Roman"/>
            <w:b w:val="false"/>
            <w:i w:val="false"/>
            <w:color w:val="000000"/>
            <w:sz w:val="22"/>
          </w:rPr>
          <w:t>subrule 33.3(2)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“c,”</w:t>
      </w:r>
      <w:r>
        <w:rPr>
          <w:rFonts w:ascii="Times New Roman" w:hAnsi="Times New Roman"/>
          <w:b w:val="false"/>
          <w:i w:val="false"/>
          <w:color w:val="000000"/>
          <w:sz w:val="22"/>
        </w:rPr>
        <w:t xml:space="preserve"> shall not be changed without first filing such change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change filed pursuant to this rule shall be effective 60 days after the date it was filed with the commissioner, unless the commissioner notifies the insurer before the end of such 60-day period of the commissioner’s disapproval of the proposed change. At any time the commissioner may, after notice and public hearing, disapprove any change that has become effective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commissioner may disapprove the change if the commissioner determines that the change would be detrimental to the interests of the policyholders participating in such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33.6(7)</w:t>
      </w:r>
      <w:r>
        <w:rPr>
          <w:rFonts w:ascii="Times New Roman" w:hAnsi="Times New Roman"/>
          <w:b w:val="false"/>
          <w:i w:val="false"/>
          <w:color w:val="000000"/>
          <w:sz w:val="22"/>
        </w:rPr>
        <w:t> </w:t>
      </w:r>
      <w:r>
        <w:rPr>
          <w:rFonts w:ascii="Times New Roman" w:hAnsi="Times New Roman"/>
          <w:b w:val="false"/>
          <w:i/>
          <w:color w:val="000000"/>
          <w:sz w:val="22"/>
        </w:rPr>
        <w:t xml:space="preserve"> Charges against separate account. </w:t>
      </w:r>
      <w:r>
        <w:rPr>
          <w:rFonts w:ascii="Times New Roman" w:hAnsi="Times New Roman"/>
          <w:b w:val="false"/>
          <w:i w:val="false"/>
          <w:color w:val="000000"/>
          <w:sz w:val="22"/>
        </w:rPr>
        <w:t>The insurer must disclose in writing, prior to or contemporaneously with delivery of the policy, all charges that may be made against the separate account,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Taxes or reserves for taxes attributable to investment gains and income of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Actual cost of reasonable brokerage fees and similar direct acquisition and sale costs incurred in the purchase or sale of separate account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Actuarially determined costs of insurance (tabular costs) and the release of separate account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Charges for administrative expenses and investment management expenses, including internal costs attributable to the investment management of assets of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charge, at rate specified in the policy, for mortality and expense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amounts in excess of those required to be held in the separate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Charges for incidental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33.6(8)</w:t>
      </w:r>
      <w:r>
        <w:rPr>
          <w:rFonts w:ascii="Times New Roman" w:hAnsi="Times New Roman"/>
          <w:b w:val="false"/>
          <w:i w:val="false"/>
          <w:color w:val="000000"/>
          <w:sz w:val="22"/>
        </w:rPr>
        <w:t> </w:t>
      </w:r>
      <w:r>
        <w:rPr>
          <w:rFonts w:ascii="Times New Roman" w:hAnsi="Times New Roman"/>
          <w:b w:val="false"/>
          <w:i/>
          <w:color w:val="000000"/>
          <w:sz w:val="22"/>
        </w:rPr>
        <w:t xml:space="preserve"> Standards of conduct. </w:t>
      </w:r>
      <w:r>
        <w:rPr>
          <w:rFonts w:ascii="Times New Roman" w:hAnsi="Times New Roman"/>
          <w:b w:val="false"/>
          <w:i w:val="false"/>
          <w:color w:val="000000"/>
          <w:sz w:val="22"/>
        </w:rPr>
        <w:t>Every insurer seeking approval to enter into the variable life insurance business in this state shall adopt by formal action of its board of directors a statement specifying the standards of conduct of the insurer, its officers, directors, employees, and affiliates with respect to the purchase or sale of investments of separate accounts. Such standards of conduct shall be binding on the insurer and those to whom it refers. A code or codes of ethics meeting the requirements of Section 17(j) under the Investment Company Act of 1940 and applicable rules and regulations thereunder shall satisfy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33.6(9)</w:t>
      </w:r>
      <w:r>
        <w:rPr>
          <w:rFonts w:ascii="Times New Roman" w:hAnsi="Times New Roman"/>
          <w:b w:val="false"/>
          <w:i w:val="false"/>
          <w:color w:val="000000"/>
          <w:sz w:val="22"/>
        </w:rPr>
        <w:t> </w:t>
      </w:r>
      <w:r>
        <w:rPr>
          <w:rFonts w:ascii="Times New Roman" w:hAnsi="Times New Roman"/>
          <w:b w:val="false"/>
          <w:i/>
          <w:color w:val="000000"/>
          <w:sz w:val="22"/>
        </w:rPr>
        <w:t xml:space="preserve"> Conflicts of interest. </w:t>
      </w:r>
      <w:r>
        <w:rPr>
          <w:rFonts w:ascii="Times New Roman" w:hAnsi="Times New Roman"/>
          <w:b w:val="false"/>
          <w:i w:val="false"/>
          <w:color w:val="000000"/>
          <w:sz w:val="22"/>
        </w:rPr>
        <w:t>Rules under any provision of the insurance laws of this state or any regulation applicable to the officers and directors of insurance companies with respect to conflicts of interest shall also apply to members of any separate account’s committee or other similar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33.6(10)</w:t>
      </w:r>
      <w:r>
        <w:rPr>
          <w:rFonts w:ascii="Times New Roman" w:hAnsi="Times New Roman"/>
          <w:b w:val="false"/>
          <w:i w:val="false"/>
          <w:color w:val="000000"/>
          <w:sz w:val="22"/>
        </w:rPr>
        <w:t> </w:t>
      </w:r>
      <w:r>
        <w:rPr>
          <w:rFonts w:ascii="Times New Roman" w:hAnsi="Times New Roman"/>
          <w:b w:val="false"/>
          <w:i/>
          <w:color w:val="000000"/>
          <w:sz w:val="22"/>
        </w:rPr>
        <w:t xml:space="preserve"> Investment advisory services to a separate account. </w:t>
      </w:r>
      <w:r>
        <w:rPr>
          <w:rFonts w:ascii="Times New Roman" w:hAnsi="Times New Roman"/>
          <w:b w:val="false"/>
          <w:i w:val="false"/>
          <w:color w:val="000000"/>
          <w:sz w:val="22"/>
        </w:rPr>
        <w:t>An insurer shall not enter into a contract under which any person undertakes, for a fee, to regularly furnish investment advice to such insurer with respect to its separate accounts maintained for variable life insurance policies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providing such advice is registered as an investment advisor under the Investment Advisors Act of 1940;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providing such advice is an investment manager under the Employee Retirement Income Security Act of 1974 with respect to the assets of each employee benefit plan allocated to the separate account;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insurer has filed with the commissioner and continues to file annually the following information and statements concerning the proposed advisor: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form of organization, state of organization, and its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its partners, officers, directors, and persons performing similar functions or, if such an investment advisor be an individual, of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standard of conduct complying in substance with the requirements of </w:t>
      </w:r>
      <w:hyperlink r:id="rId36">
        <w:r>
          <w:rPr>
            <w:rStyle w:val="Hyperlink"/>
            <w:rFonts w:ascii="Times New Roman" w:hAnsi="Times New Roman"/>
            <w:b w:val="false"/>
            <w:i w:val="false"/>
            <w:color w:val="000000"/>
            <w:sz w:val="22"/>
          </w:rPr>
          <w:t>subrule 33.6(8)</w:t>
        </w:r>
      </w:hyperlink>
      <w:r>
        <w:rPr>
          <w:rFonts w:ascii="Times New Roman" w:hAnsi="Times New Roman"/>
          <w:b w:val="false"/>
          <w:i w:val="false"/>
          <w:color w:val="000000"/>
          <w:sz w:val="22"/>
        </w:rPr>
        <w:t xml:space="preserve"> which has been adopted by the investment advisor and is applicable to the investment advisor, its officers, directors, and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provided by the proposed advisor as to whether the advisor or any person associated therewith:</w:t>
      </w:r>
    </w:p>
    <w:p>
      <w:pPr>
        <w:spacing w:before="0" w:after="0"/>
        <w:ind w:left="120"/>
        <w:jc w:val="both"/>
      </w:pPr>
      <w:r>
        <w:rPr>
          <w:rFonts w:ascii="Times New Roman" w:hAnsi="Times New Roman"/>
          <w:b w:val="false"/>
          <w:i w:val="false"/>
          <w:color w:val="000000"/>
          <w:sz w:val="22"/>
        </w:rPr>
        <w:t>Has been convicted within ten years of any felony or misdemeanor arising out of such person’s conduct as an employee, salesperson, officer or director of an insurance company, a banker, an insurance producer, a securities broker, or an investment advisor involving embezzlement, fraudulent conversion, or misappropriation of funds or securities, or involving the violation of Section 1341, 1342, or 1343 of Title 18 of United States Code;</w:t>
      </w:r>
    </w:p>
    <w:p>
      <w:pPr>
        <w:spacing w:before="0" w:after="0"/>
        <w:ind w:left="120"/>
        <w:jc w:val="both"/>
      </w:pPr>
      <w:r>
        <w:rPr>
          <w:rFonts w:ascii="Times New Roman" w:hAnsi="Times New Roman"/>
          <w:b w:val="false"/>
          <w:i w:val="false"/>
          <w:color w:val="000000"/>
          <w:sz w:val="22"/>
        </w:rPr>
        <w:t>Has been permanently or temporarily enjoined by order, judgment, or decree of any court of competent jurisdiction from acting as an investment advisor, underwriter, broker, or dealer, or as an affiliated person or as an employee of any investment company, bank, or insurance company, or from engaging in or continuing any conduct or practice in connection with any such activity;</w:t>
      </w:r>
    </w:p>
    <w:p>
      <w:pPr>
        <w:spacing w:before="0" w:after="0"/>
        <w:ind w:left="120"/>
        <w:jc w:val="both"/>
      </w:pPr>
      <w:r>
        <w:rPr>
          <w:rFonts w:ascii="Times New Roman" w:hAnsi="Times New Roman"/>
          <w:b w:val="false"/>
          <w:i w:val="false"/>
          <w:color w:val="000000"/>
          <w:sz w:val="22"/>
        </w:rPr>
        <w:t>Has been found by federal or state regulatory authorities to have willfully violated or have acknowledged willful violation of any provision of federal or state securities laws or state insurance laws or of any rule or regulation under any such laws; or</w:t>
      </w:r>
    </w:p>
    <w:p>
      <w:pPr>
        <w:spacing w:before="0" w:after="0"/>
        <w:ind w:left="120"/>
        <w:jc w:val="both"/>
      </w:pPr>
      <w:r>
        <w:rPr>
          <w:rFonts w:ascii="Times New Roman" w:hAnsi="Times New Roman"/>
          <w:b w:val="false"/>
          <w:i w:val="false"/>
          <w:color w:val="000000"/>
          <w:sz w:val="22"/>
        </w:rPr>
        <w:t>Has been censured, denied an investment advisor registration, had a registration as an investment advisor revoked or suspended, or been barred or suspended from being associated with an investment advisor by order of federal or state regulatory authorities;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investment advisory contract shall be in writing and provide that it may be terminated by the insurer without penalty to the insurer or the separate account upon no more than 60 days’ written notice to the investment advisor.</w:t>
      </w:r>
    </w:p>
    <w:p>
      <w:pPr>
        <w:spacing w:before="0" w:after="0"/>
        <w:ind w:left="120"/>
        <w:jc w:val="both"/>
      </w:pPr>
      <w:r>
        <w:rPr>
          <w:rFonts w:ascii="Times New Roman" w:hAnsi="Times New Roman"/>
          <w:b w:val="false"/>
          <w:i w:val="false"/>
          <w:color w:val="000000"/>
          <w:sz w:val="22"/>
        </w:rPr>
        <w:t>The commissioner may, after notice and opportunity for hearing, by order require the investment advisory contract to be terminated if the commissioner deems continued operation thereunder to be hazardous to the public or the insurer’s policyholders.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191—33.7</w:t>
      </w:r>
      <w:r>
        <w:rPr>
          <w:rFonts w:ascii="Times New Roman" w:hAnsi="Times New Roman"/>
          <w:b/>
          <w:i w:val="false"/>
          <w:color w:val="000000"/>
          <w:sz w:val="22"/>
        </w:rPr>
        <w:t xml:space="preserve">(508A) </w:t>
      </w:r>
      <w:r>
        <w:rPr>
          <w:rFonts w:ascii="Times New Roman" w:hAnsi="Times New Roman"/>
          <w:b/>
          <w:i w:val="false"/>
          <w:color w:val="000000"/>
          <w:sz w:val="22"/>
        </w:rPr>
        <w:t xml:space="preserve">Information furnished to applicants. </w:t>
      </w:r>
      <w:r>
        <w:rPr>
          <w:rFonts w:ascii="Times New Roman" w:hAnsi="Times New Roman"/>
          <w:b w:val="false"/>
          <w:i w:val="false"/>
          <w:color w:val="000000"/>
          <w:sz w:val="22"/>
        </w:rPr>
        <w:t>An insurer delivering or issuing for delivery in this state any variable life insurance policies shall deliver to the applicant for the policy, and obtain a written acknowledgment of receipt from such applicant coincident with or prior to the execution of the application, the following information. The requirements of this rule shall be deemed to have been satisfied to the extent that a disclosure containing information required by this rule is delivered, either in the form of (1) a prospectus included in the requirements of the Securities Act of 1933 and which was declared effective by the Securities and Exchange Commission; or (2) all information and reports required by the Employee Retirement Income Security Act of 1974 if the policies are exempted from the registration requirements of the Securities Act of 1933 pursuant to Section 3(a)(2)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explanation, in nontechnical terms, of the principal features of the policy, including a description of the manner in which the variable benefits will reflect the investment experience of the separate account and the factors which affect such variation. Such explanation must include notices of the provision required by </w:t>
      </w:r>
      <w:hyperlink r:id="rId37">
        <w:r>
          <w:rPr>
            <w:rStyle w:val="Hyperlink"/>
            <w:rFonts w:ascii="Times New Roman" w:hAnsi="Times New Roman"/>
            <w:b w:val="false"/>
            <w:i w:val="false"/>
            <w:color w:val="000000"/>
            <w:sz w:val="22"/>
          </w:rPr>
          <w:t>subrule 33.4(3)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(5), and </w:t>
      </w:r>
      <w:hyperlink r:id="rId38">
        <w:r>
          <w:rPr>
            <w:rStyle w:val="Hyperlink"/>
            <w:rFonts w:ascii="Times New Roman" w:hAnsi="Times New Roman"/>
            <w:b w:val="false"/>
            <w:i w:val="false"/>
            <w:color w:val="000000"/>
            <w:sz w:val="22"/>
          </w:rPr>
          <w:t>33.4(3)</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val="false"/>
          <w:color w:val="000000"/>
          <w:sz w:val="22"/>
        </w:rPr>
        <w:t>A statement of the investment policy of the separate account,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investment objectives intended for the separate account and the principal types of investments intended to be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restrictions or limitations on the manner in which the operations of the separate account are intended to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val="false"/>
          <w:color w:val="000000"/>
          <w:sz w:val="22"/>
        </w:rPr>
        <w:t>A statement of the net investment return of the separate account for each of the last ten years or such lesser period as the separate account has been in existence.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val="false"/>
          <w:color w:val="000000"/>
          <w:sz w:val="22"/>
        </w:rPr>
        <w:t>A statement of the charges levied against the separate account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33.7(5)</w:t>
      </w:r>
      <w:r>
        <w:rPr>
          <w:rFonts w:ascii="Times New Roman" w:hAnsi="Times New Roman"/>
          <w:b w:val="false"/>
          <w:i w:val="false"/>
          <w:color w:val="000000"/>
          <w:sz w:val="22"/>
        </w:rPr>
        <w:t> </w:t>
      </w:r>
      <w:r>
        <w:rPr>
          <w:rFonts w:ascii="Times New Roman" w:hAnsi="Times New Roman"/>
          <w:b w:val="false"/>
          <w:i w:val="false"/>
          <w:color w:val="000000"/>
          <w:sz w:val="22"/>
        </w:rPr>
        <w:t>A summary of the method to be used in valuing assets held by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33.7(6)</w:t>
      </w:r>
      <w:r>
        <w:rPr>
          <w:rFonts w:ascii="Times New Roman" w:hAnsi="Times New Roman"/>
          <w:b w:val="false"/>
          <w:i w:val="false"/>
          <w:color w:val="000000"/>
          <w:sz w:val="22"/>
        </w:rPr>
        <w:t> </w:t>
      </w:r>
      <w:r>
        <w:rPr>
          <w:rFonts w:ascii="Times New Roman" w:hAnsi="Times New Roman"/>
          <w:b w:val="false"/>
          <w:i w:val="false"/>
          <w:color w:val="000000"/>
          <w:sz w:val="22"/>
        </w:rPr>
        <w:t>A summary of the federal income tax aspects of the policy applicable to the insured, the policyholder, and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33.7(7)</w:t>
      </w:r>
      <w:r>
        <w:rPr>
          <w:rFonts w:ascii="Times New Roman" w:hAnsi="Times New Roman"/>
          <w:b w:val="false"/>
          <w:i w:val="false"/>
          <w:color w:val="000000"/>
          <w:sz w:val="22"/>
        </w:rPr>
        <w:t> </w:t>
      </w:r>
      <w:r>
        <w:rPr>
          <w:rFonts w:ascii="Times New Roman" w:hAnsi="Times New Roman"/>
          <w:b w:val="false"/>
          <w:i w:val="false"/>
          <w:color w:val="000000"/>
          <w:sz w:val="22"/>
        </w:rPr>
        <w:t>Illustrations of benefits payable under the variable life insurance contract. Such illustrations shall be prepared by the insurer and shall not include projections of past investment experience into the future or attempted predictions of future investment experience, provided that nothing contained herein prohibits use of hypothetical assumed rates of return to illustrate possible levels of benefits if it is made clear that such assumed rates are hypothetical only.</w:t>
      </w:r>
    </w:p>
    <w:p>
      <w:pPr>
        <w:spacing w:before="0" w:after="0"/>
        <w:ind w:left="120"/>
        <w:jc w:val="both"/>
      </w:pPr>
      <w:r>
        <w:rPr>
          <w:rFonts w:ascii="Times New Roman" w:hAnsi="Times New Roman"/>
          <w:b/>
          <w:i w:val="false"/>
          <w:color w:val="000000"/>
          <w:sz w:val="22"/>
        </w:rPr>
        <w:t>191—33.8</w:t>
      </w:r>
      <w:r>
        <w:rPr>
          <w:rFonts w:ascii="Times New Roman" w:hAnsi="Times New Roman"/>
          <w:b/>
          <w:i w:val="false"/>
          <w:color w:val="000000"/>
          <w:sz w:val="22"/>
        </w:rPr>
        <w:t xml:space="preserve">(508A) </w:t>
      </w:r>
      <w:r>
        <w:rPr>
          <w:rFonts w:ascii="Times New Roman" w:hAnsi="Times New Roman"/>
          <w:b/>
          <w:i w:val="false"/>
          <w:color w:val="000000"/>
          <w:sz w:val="22"/>
        </w:rPr>
        <w:t xml:space="preserve">Applications. </w:t>
      </w:r>
      <w:r>
        <w:rPr>
          <w:rFonts w:ascii="Times New Roman" w:hAnsi="Times New Roman"/>
          <w:b w:val="false"/>
          <w:i w:val="false"/>
          <w:color w:val="000000"/>
          <w:sz w:val="22"/>
        </w:rPr>
        <w:t>The application for a variable life insurance policy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A prominent statement that the death benefit may be variable or fixed under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A prominent statement that cash values may increase or decrease in accordance with the experience of the separate account (subject to any specified minimum guarantees).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33.8(3)</w:t>
      </w:r>
      <w:r>
        <w:rPr>
          <w:rFonts w:ascii="Times New Roman" w:hAnsi="Times New Roman"/>
          <w:b w:val="false"/>
          <w:i w:val="false"/>
          <w:color w:val="000000"/>
          <w:sz w:val="22"/>
        </w:rPr>
        <w:t> </w:t>
      </w:r>
      <w:r>
        <w:rPr>
          <w:rFonts w:ascii="Times New Roman" w:hAnsi="Times New Roman"/>
          <w:b w:val="false"/>
          <w:i w:val="false"/>
          <w:color w:val="000000"/>
          <w:sz w:val="22"/>
        </w:rPr>
        <w:t>Questions designed to elicit information which enable the insurer to determine the suitability of variable life insurance for the applicant.</w:t>
      </w:r>
    </w:p>
    <w:p>
      <w:pPr>
        <w:spacing w:before="0" w:after="0"/>
        <w:ind w:left="120"/>
        <w:jc w:val="both"/>
      </w:pPr>
      <w:r>
        <w:rPr>
          <w:rFonts w:ascii="Times New Roman" w:hAnsi="Times New Roman"/>
          <w:b/>
          <w:i w:val="false"/>
          <w:color w:val="000000"/>
          <w:sz w:val="22"/>
        </w:rPr>
        <w:t>191—33.9</w:t>
      </w:r>
      <w:r>
        <w:rPr>
          <w:rFonts w:ascii="Times New Roman" w:hAnsi="Times New Roman"/>
          <w:b/>
          <w:i w:val="false"/>
          <w:color w:val="000000"/>
          <w:sz w:val="22"/>
        </w:rPr>
        <w:t xml:space="preserve">(508A) </w:t>
      </w:r>
      <w:r>
        <w:rPr>
          <w:rFonts w:ascii="Times New Roman" w:hAnsi="Times New Roman"/>
          <w:b/>
          <w:i w:val="false"/>
          <w:color w:val="000000"/>
          <w:sz w:val="22"/>
        </w:rPr>
        <w:t xml:space="preserve">Reports to policyholders. </w:t>
      </w:r>
      <w:r>
        <w:rPr>
          <w:rFonts w:ascii="Times New Roman" w:hAnsi="Times New Roman"/>
          <w:b w:val="false"/>
          <w:i w:val="false"/>
          <w:color w:val="000000"/>
          <w:sz w:val="22"/>
        </w:rPr>
        <w:t>Any insurer delivering or issuing for delivery in this state any variable life insurance policies shall mail to each variable life insurance policyholder at the policyholder’s last known address the following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each anniversary of the policy, a statement or statements of the cash surrender value, death benefits, any partial withdrawal or policy loan, any interest charge, any optional payments allowed pursuant to </w:t>
      </w:r>
      <w:hyperlink r:id="rId39">
        <w:r>
          <w:rPr>
            <w:rStyle w:val="Hyperlink"/>
            <w:rFonts w:ascii="Times New Roman" w:hAnsi="Times New Roman"/>
            <w:b w:val="false"/>
            <w:i w:val="false"/>
            <w:color w:val="000000"/>
            <w:sz w:val="22"/>
          </w:rPr>
          <w:t>subrule 33.4(4)</w:t>
        </w:r>
      </w:hyperlink>
      <w:r>
        <w:rPr>
          <w:rFonts w:ascii="Times New Roman" w:hAnsi="Times New Roman"/>
          <w:b w:val="false"/>
          <w:i w:val="false"/>
          <w:color w:val="000000"/>
          <w:sz w:val="22"/>
        </w:rPr>
        <w:t xml:space="preserve"> under the policy computed as of the policy anniversary date. Provided, however, that such statement may be furnished within 30 days after a specified date in each policy year so long as the information contained therein is computed as of a date not more than 60 days prior to the mailing of the notice. This statement shall state that, in accordance with the investment experience of the separate account, the cash values and the variable death benefit may increase or decrease, and shall prominently identify any value described therein which may be recomputed prior to the next statement required by this rule. If the policy guarantees that the variable death benefit on the next policy anniversary date will not be less than the variable death benefit specified in such statement, the statement shall be modified to so indicate. For flexible premium policies, the report must contain a reconciliation of the change since the previous report in cash value and cash surrender value, if different, because of payments made (less deductions for expense charges), withdrawals, investment experience, insurance charges and any other charges made against the cash value. In addition, the report must show the projected cash value and cash surrender value, if different, as of one year from the end of the period covered by the report assuming that: (i) Planned periodic premiums, if any, are paid as scheduled; (ii) guaranteed costs of insurance are deducted; and (iii) the net return is equal to the guaranteed rate or, in the absence of a guaranteed rate, is not greater than zero. If the projected value is less than zero, a warning message must be included that states that the policy may be in danger of terminating without value in the next 12 months unless additional premium is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val="false"/>
          <w:color w:val="000000"/>
          <w:sz w:val="22"/>
        </w:rPr>
        <w:t>Annually, a statement or statements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summary of the financial statement of the separate account based on the annual statement last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 investment return of the separate account for the last year and, for each year after the first, a comparison of the investment rate of the separate account during the last year with the investment rate during prior years, up to a total of not less than five years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investments held by the separate account as of a date not earlier than the end of the last year for which an annual statement was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charges levied against the separate account during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of any change, since the last report, in the investment objective and orientation of the separate account, in any investment restriction or material quantitative or qualitative investment requirement applicable to the separate account or in the investment advisor of the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33.9(3)</w:t>
      </w:r>
      <w:r>
        <w:rPr>
          <w:rFonts w:ascii="Times New Roman" w:hAnsi="Times New Roman"/>
          <w:b w:val="false"/>
          <w:i w:val="false"/>
          <w:color w:val="000000"/>
          <w:sz w:val="22"/>
        </w:rPr>
        <w:t> </w:t>
      </w:r>
      <w:r>
        <w:rPr>
          <w:rFonts w:ascii="Times New Roman" w:hAnsi="Times New Roman"/>
          <w:b w:val="false"/>
          <w:i w:val="false"/>
          <w:color w:val="000000"/>
          <w:sz w:val="22"/>
        </w:rPr>
        <w:t>For flexible premium policies, a report must be sent to the policyholder if the amounts available under the policy on any policy processing day to pay the charges authorized by the policy are less than the amount necessary to keep the policy in force until the next following policy processing day. The report must indicate the minimum payment required under the terms of the policy to keep it in force and the length of the grace period for payment of such amount.</w:t>
      </w:r>
    </w:p>
    <w:p>
      <w:pPr>
        <w:spacing w:before="210" w:after="0"/>
        <w:ind w:left="120"/>
        <w:jc w:val="both"/>
      </w:pPr>
      <w:r>
        <w:rPr>
          <w:rFonts w:ascii="Times New Roman" w:hAnsi="Times New Roman"/>
          <w:b/>
          <w:i w:val="false"/>
          <w:color w:val="000000"/>
          <w:sz w:val="22"/>
        </w:rPr>
        <w:t>191—33.10</w:t>
      </w:r>
      <w:r>
        <w:rPr>
          <w:rFonts w:ascii="Times New Roman" w:hAnsi="Times New Roman"/>
          <w:b/>
          <w:i w:val="false"/>
          <w:color w:val="000000"/>
          <w:sz w:val="22"/>
        </w:rPr>
        <w:t xml:space="preserve">(508A) </w:t>
      </w:r>
      <w:r>
        <w:rPr>
          <w:rFonts w:ascii="Times New Roman" w:hAnsi="Times New Roman"/>
          <w:b/>
          <w:i w:val="false"/>
          <w:color w:val="000000"/>
          <w:sz w:val="22"/>
        </w:rPr>
        <w:t xml:space="preserve">Foreign companies. </w:t>
      </w:r>
      <w:r>
        <w:rPr>
          <w:rFonts w:ascii="Times New Roman" w:hAnsi="Times New Roman"/>
          <w:b w:val="false"/>
          <w:i w:val="false"/>
          <w:color w:val="000000"/>
          <w:sz w:val="22"/>
        </w:rPr>
        <w:t>If the law or regulation in the place of domicile of a foreign company provides a degree of protection to the policyholders and the public which is substantially similar to that provided by this chapter, the commissioner to the extent deemed appropriate in the commissioner’s discretion, may consider compliance with such law or regulation as compliance with this chapter.</w:t>
      </w:r>
    </w:p>
    <w:p>
      <w:pPr>
        <w:spacing w:before="210" w:after="0"/>
        <w:ind w:left="120"/>
        <w:jc w:val="both"/>
      </w:pPr>
      <w:r>
        <w:rPr>
          <w:rFonts w:ascii="Times New Roman" w:hAnsi="Times New Roman"/>
          <w:b/>
          <w:i w:val="false"/>
          <w:color w:val="000000"/>
          <w:sz w:val="22"/>
        </w:rPr>
        <w:t>191—33.11</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191—33.12</w:t>
      </w:r>
      <w:r>
        <w:rPr>
          <w:rFonts w:ascii="Times New Roman" w:hAnsi="Times New Roman"/>
          <w:b/>
          <w:i w:val="false"/>
          <w:color w:val="000000"/>
          <w:sz w:val="22"/>
        </w:rPr>
        <w:t xml:space="preserve">(508A) </w:t>
      </w:r>
      <w:r>
        <w:rPr>
          <w:rFonts w:ascii="Times New Roman" w:hAnsi="Times New Roman"/>
          <w:b/>
          <w:i w:val="false"/>
          <w:color w:val="000000"/>
          <w:sz w:val="22"/>
        </w:rPr>
        <w:t xml:space="preserve">Separability article. </w:t>
      </w:r>
      <w:r>
        <w:rPr>
          <w:rFonts w:ascii="Times New Roman" w:hAnsi="Times New Roman"/>
          <w:b w:val="false"/>
          <w:i w:val="false"/>
          <w:color w:val="000000"/>
          <w:sz w:val="22"/>
        </w:rPr>
        <w:t>If any provision of this chapter or the application thereof to any person or circumstance is for any reason held to be invalid, the remainder of the regulation and the application of such provision to other persons or circumstances shall not be affected thereby.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508A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3/23/84, Notice 1/18/84—published 4/11/84, effective 6/1/84]</w:t>
      </w:r>
    </w:p>
    <w:p>
      <w:pPr>
        <w:spacing w:before="0" w:after="0"/>
        <w:ind w:left="120"/>
        <w:jc w:val="center"/>
      </w:pPr>
      <w:r>
        <w:rPr>
          <w:rFonts w:ascii="Times New Roman" w:hAnsi="Times New Roman"/>
          <w:b w:val="false"/>
          <w:i w:val="false"/>
          <w:color w:val="000000"/>
          <w:sz w:val="21"/>
        </w:rPr>
        <w:t>[Filed 7/11/86, Notice 6/4/86—published 7/30/86, effective 9/3/86]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p>
      <w:pPr>
        <w:pBdr>
          <w:bottom w:space="2"/>
        </w:pBdr>
        <w:spacing w:before="0" w:after="0"/>
        <w:ind w:left="120"/>
        <w:jc w:val="both"/>
      </w:pPr>
      <w:r>
        <w:rPr>
          <w:rFonts w:ascii="Times New Roman" w:hAnsi="Times New Roman"/>
          <w:b w:val="false"/>
          <w:i w:val="false"/>
          <w:color w:val="000000"/>
          <w:sz w:val="22"/>
        </w:rPr>
        <w:t>See IAB Insurance Division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508A.4.pdf" Type="http://schemas.openxmlformats.org/officeDocument/2006/relationships/hyperlink" Id="rId6"/>
    <Relationship TargetMode="External" Target="https://www.legis.iowa.gov/docs/iac/chapter/191.31.pdf" Type="http://schemas.openxmlformats.org/officeDocument/2006/relationships/hyperlink" Id="rId7"/>
    <Relationship TargetMode="External" Target="https://www.legis.iowa.gov/docs/iac/rule/191.1.1.pdf" Type="http://schemas.openxmlformats.org/officeDocument/2006/relationships/hyperlink" Id="rId8"/>
    <Relationship TargetMode="External" Target="https://www.legis.iowa.gov/docs/iac/rule/191.33.2.pdf" Type="http://schemas.openxmlformats.org/officeDocument/2006/relationships/hyperlink" Id="rId9"/>
    <Relationship TargetMode="External" Target="https://www.legis.iowa.gov/docs/ico/chapter/508A.1.pdf" Type="http://schemas.openxmlformats.org/officeDocument/2006/relationships/hyperlink" Id="rId10"/>
    <Relationship TargetMode="External" Target="https://www.legis.iowa.gov/docs/iac/rule/191.10.2.pdf" Type="http://schemas.openxmlformats.org/officeDocument/2006/relationships/hyperlink" Id="rId11"/>
    <Relationship TargetMode="External" Target="https://www.legis.iowa.gov/docs/ico/chapter/508A.1.pdf" Type="http://schemas.openxmlformats.org/officeDocument/2006/relationships/hyperlink" Id="rId12"/>
    <Relationship TargetMode="External" Target="https://www.legis.iowa.gov/docs/ico/chapter/508A.1.pdf" Type="http://schemas.openxmlformats.org/officeDocument/2006/relationships/hyperlink" Id="rId13"/>
    <Relationship TargetMode="External" Target="https://www.legis.iowa.gov/docs/iac/rule/191.33.3.pdf" Type="http://schemas.openxmlformats.org/officeDocument/2006/relationships/hyperlink" Id="rId14"/>
    <Relationship TargetMode="External" Target="https://www.legis.iowa.gov/docs/iac/rule/191.33.6.pdf" Type="http://schemas.openxmlformats.org/officeDocument/2006/relationships/hyperlink" Id="rId15"/>
    <Relationship TargetMode="External" Target="https://www.legis.iowa.gov/docs/iac/chapter/191.15.pdf" Type="http://schemas.openxmlformats.org/officeDocument/2006/relationships/hyperlink" Id="rId16"/>
    <Relationship TargetMode="External" Target="https://www.legis.iowa.gov/docs/iac/rule/191.33.7.pdf" Type="http://schemas.openxmlformats.org/officeDocument/2006/relationships/hyperlink" Id="rId17"/>
    <Relationship TargetMode="External" Target="https://www.legis.iowa.gov/docs/iac/rule/191.33.9.pdf" Type="http://schemas.openxmlformats.org/officeDocument/2006/relationships/hyperlink" Id="rId18"/>
    <Relationship TargetMode="External" Target="http://www.serff.org" Type="http://schemas.openxmlformats.org/officeDocument/2006/relationships/hyperlink" Id="rId19"/>
    <Relationship TargetMode="External" Target="https://www.legis.iowa.gov/docs/iac/rule/191.33.4.pdf" Type="http://schemas.openxmlformats.org/officeDocument/2006/relationships/hyperlink" Id="rId20"/>
    <Relationship TargetMode="External" Target="https://www.legis.iowa.gov/docs/ico/chapter/508.37.pdf" Type="http://schemas.openxmlformats.org/officeDocument/2006/relationships/hyperlink" Id="rId21"/>
    <Relationship TargetMode="External" Target="https://www.legis.iowa.gov/docs/iac/rule/191.33.4.pdf" Type="http://schemas.openxmlformats.org/officeDocument/2006/relationships/hyperlink" Id="rId22"/>
    <Relationship TargetMode="External" Target="https://www.legis.iowa.gov/docs/iac/rule/191.33.9.pdf" Type="http://schemas.openxmlformats.org/officeDocument/2006/relationships/hyperlink" Id="rId23"/>
    <Relationship TargetMode="External" Target="https://www.legis.iowa.gov/docs/iac/rule/191.33.9.pdf" Type="http://schemas.openxmlformats.org/officeDocument/2006/relationships/hyperlink" Id="rId24"/>
    <Relationship TargetMode="External" Target="https://www.legis.iowa.gov/docs/iac/rule/191.33.4.pdf" Type="http://schemas.openxmlformats.org/officeDocument/2006/relationships/hyperlink" Id="rId25"/>
    <Relationship TargetMode="External" Target="https://www.legis.iowa.gov/docs/ico/chapter/508.36.pdf" Type="http://schemas.openxmlformats.org/officeDocument/2006/relationships/hyperlink" Id="rId26"/>
    <Relationship TargetMode="External" Target="https://www.legis.iowa.gov/docs/iac/rule/191.33.5.pdf" Type="http://schemas.openxmlformats.org/officeDocument/2006/relationships/hyperlink" Id="rId27"/>
    <Relationship TargetMode="External" Target="https://www.legis.iowa.gov/docs/iac/rule/191.33.5.pdf" Type="http://schemas.openxmlformats.org/officeDocument/2006/relationships/hyperlink" Id="rId28"/>
    <Relationship TargetMode="External" Target="https://www.legis.iowa.gov/docs/iac/rule/191.33.5.pdf" Type="http://schemas.openxmlformats.org/officeDocument/2006/relationships/hyperlink" Id="rId29"/>
    <Relationship TargetMode="External" Target="https://www.legis.iowa.gov/docs/iac/rule/191.33.5.pdf" Type="http://schemas.openxmlformats.org/officeDocument/2006/relationships/hyperlink" Id="rId30"/>
    <Relationship TargetMode="External" Target="https://www.legis.iowa.gov/docs/iac/rule/191.33.5.pdf" Type="http://schemas.openxmlformats.org/officeDocument/2006/relationships/hyperlink" Id="rId31"/>
    <Relationship TargetMode="External" Target="https://www.legis.iowa.gov/docs/ico/chapter/508A.1.pdf" Type="http://schemas.openxmlformats.org/officeDocument/2006/relationships/hyperlink" Id="rId32"/>
    <Relationship TargetMode="External" Target="https://www.legis.iowa.gov/docs/iac/rule/191.33.6.pdf" Type="http://schemas.openxmlformats.org/officeDocument/2006/relationships/hyperlink" Id="rId33"/>
    <Relationship TargetMode="External" Target="https://www.legis.iowa.gov/docs/iac/rule/191.33.6.pdf" Type="http://schemas.openxmlformats.org/officeDocument/2006/relationships/hyperlink" Id="rId34"/>
    <Relationship TargetMode="External" Target="https://www.legis.iowa.gov/docs/iac/rule/191.33.3.pdf" Type="http://schemas.openxmlformats.org/officeDocument/2006/relationships/hyperlink" Id="rId35"/>
    <Relationship TargetMode="External" Target="https://www.legis.iowa.gov/docs/iac/rule/191.33.6.pdf" Type="http://schemas.openxmlformats.org/officeDocument/2006/relationships/hyperlink" Id="rId36"/>
    <Relationship TargetMode="External" Target="https://www.legis.iowa.gov/docs/iac/rule/191.33.4.pdf" Type="http://schemas.openxmlformats.org/officeDocument/2006/relationships/hyperlink" Id="rId37"/>
    <Relationship TargetMode="External" Target="https://www.legis.iowa.gov/docs/iac/rule/191.33.4.pdf" Type="http://schemas.openxmlformats.org/officeDocument/2006/relationships/hyperlink" Id="rId38"/>
    <Relationship TargetMode="External" Target="https://www.legis.iowa.gov/docs/iac/rule/191.33.4.pdf" Type="http://schemas.openxmlformats.org/officeDocument/2006/relationships/hyperlink" Id="rId39"/>
    <Relationship TargetMode="External" Target="https://www.legis.iowa.gov/docs/ico/chapter/508A.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