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DEPOSITS BY A DOMESTIC LIFE COMPANY IN A</w:t>
      </w:r>
      <w:r>
        <w:br/>
      </w:r>
      <w:r>
        <w:rPr>
          <w:rFonts w:ascii="Times New Roman" w:hAnsi="Times New Roman"/>
          <w:b w:val="false"/>
          <w:i w:val="false"/>
          <w:color w:val="000000"/>
          <w:sz w:val="21"/>
        </w:rPr>
        <w:t>CUSTODIAN BANK OR CLEARING CORPORATION</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191—32.1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implement the authority of insurance companies organized under Iowa Code chapter </w:t>
      </w:r>
      <w:hyperlink r:id="rId5">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to make deposits of securities in custodian banks or clearing corporations in order to satisfy the legal reserve requirement imposed on those companies. These rules place requirements on such deposits which are for the protection of policyholders in the state.</w:t>
      </w:r>
    </w:p>
    <w:p>
      <w:pPr>
        <w:spacing w:before="0" w:after="0"/>
        <w:ind w:left="120"/>
        <w:jc w:val="both"/>
      </w:pPr>
      <w:r>
        <w:rPr>
          <w:rFonts w:ascii="Times New Roman" w:hAnsi="Times New Roman"/>
          <w:b/>
          <w:i w:val="false"/>
          <w:color w:val="000000"/>
          <w:sz w:val="22"/>
        </w:rPr>
        <w:t>191—32.2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 xml:space="preserve">means a company organized under Iowa Code chapter </w:t>
      </w:r>
      <w:hyperlink r:id="rId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color w:val="000000"/>
          <w:sz w:val="22"/>
        </w:rPr>
        <w:t xml:space="preserve">“Custodial account” </w:t>
      </w:r>
      <w:r>
        <w:rPr>
          <w:rFonts w:ascii="Times New Roman" w:hAnsi="Times New Roman"/>
          <w:b w:val="false"/>
          <w:i w:val="false"/>
          <w:color w:val="000000"/>
          <w:sz w:val="22"/>
        </w:rPr>
        <w:t xml:space="preserve">means an account established by agreement between a company and a custodian pursuant to Iowa Code section </w:t>
      </w:r>
      <w:hyperlink r:id="rId7">
        <w:r>
          <w:rPr>
            <w:rStyle w:val="Hyperlink"/>
            <w:rFonts w:ascii="Times New Roman" w:hAnsi="Times New Roman"/>
            <w:b w:val="false"/>
            <w:i w:val="false"/>
            <w:color w:val="000000"/>
            <w:sz w:val="22"/>
          </w:rPr>
          <w:t>511.8, subsection 21</w:t>
        </w:r>
      </w:hyperlink>
      <w:r>
        <w:rPr>
          <w:rFonts w:ascii="Times New Roman" w:hAnsi="Times New Roman"/>
          <w:b w:val="false"/>
          <w:i w:val="false"/>
          <w:color w:val="000000"/>
          <w:sz w:val="22"/>
        </w:rPr>
        <w:t>,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32.2(4)</w:t>
      </w:r>
      <w:r>
        <w:rPr>
          <w:rFonts w:ascii="Times New Roman" w:hAnsi="Times New Roman"/>
          <w:b w:val="false"/>
          <w:i w:val="false"/>
          <w:color w:val="000000"/>
          <w:sz w:val="22"/>
        </w:rPr>
        <w:t> </w:t>
      </w:r>
      <w:r>
        <w:rPr>
          <w:rFonts w:ascii="Times New Roman" w:hAnsi="Times New Roman"/>
          <w:b w:val="false"/>
          <w:i/>
          <w:color w:val="000000"/>
          <w:sz w:val="22"/>
        </w:rPr>
        <w:t xml:space="preserve">“Custodial agreement” </w:t>
      </w:r>
      <w:r>
        <w:rPr>
          <w:rFonts w:ascii="Times New Roman" w:hAnsi="Times New Roman"/>
          <w:b w:val="false"/>
          <w:i w:val="false"/>
          <w:color w:val="000000"/>
          <w:sz w:val="22"/>
        </w:rPr>
        <w:t>means an agreement entered into between a company and a custodian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an institution meeting the requirements of rule </w:t>
      </w:r>
      <w:hyperlink r:id="rId8">
        <w:r>
          <w:rPr>
            <w:rStyle w:val="Hyperlink"/>
            <w:rFonts w:ascii="Times New Roman" w:hAnsi="Times New Roman"/>
            <w:b w:val="false"/>
            <w:i w:val="false"/>
            <w:color w:val="000000"/>
            <w:sz w:val="22"/>
          </w:rPr>
          <w:t>32.4(508)</w:t>
        </w:r>
      </w:hyperlink>
      <w:r>
        <w:rPr>
          <w:rFonts w:ascii="Times New Roman" w:hAnsi="Times New Roman"/>
          <w:b w:val="false"/>
          <w:i w:val="false"/>
          <w:color w:val="000000"/>
          <w:sz w:val="22"/>
        </w:rPr>
        <w:t xml:space="preserve"> which has entered into a custodial agreement with a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32.2(6)</w:t>
      </w:r>
      <w:r>
        <w:rPr>
          <w:rFonts w:ascii="Times New Roman" w:hAnsi="Times New Roman"/>
          <w:b w:val="false"/>
          <w:i w:val="false"/>
          <w:color w:val="000000"/>
          <w:sz w:val="22"/>
        </w:rPr>
        <w:t> </w:t>
      </w:r>
      <w:r>
        <w:rPr>
          <w:rFonts w:ascii="Times New Roman" w:hAnsi="Times New Roman"/>
          <w:b w:val="false"/>
          <w:i/>
          <w:color w:val="000000"/>
          <w:sz w:val="22"/>
        </w:rPr>
        <w:t xml:space="preserve">“Custodied securities” </w:t>
      </w:r>
      <w:r>
        <w:rPr>
          <w:rFonts w:ascii="Times New Roman" w:hAnsi="Times New Roman"/>
          <w:b w:val="false"/>
          <w:i w:val="false"/>
          <w:color w:val="000000"/>
          <w:sz w:val="22"/>
        </w:rPr>
        <w:t>means securities held by or through a custodian when held directly by the custodian or held for the account of the custodian in an authorized clearing corporation or in the federal reserve book entry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32.2(7)</w:t>
      </w:r>
      <w:r>
        <w:rPr>
          <w:rFonts w:ascii="Times New Roman" w:hAnsi="Times New Roman"/>
          <w:b w:val="false"/>
          <w:i w:val="false"/>
          <w:color w:val="000000"/>
          <w:sz w:val="22"/>
        </w:rPr>
        <w:t> </w:t>
      </w:r>
      <w:r>
        <w:rPr>
          <w:rFonts w:ascii="Times New Roman" w:hAnsi="Times New Roman"/>
          <w:b w:val="false"/>
          <w:i/>
          <w:color w:val="000000"/>
          <w:sz w:val="22"/>
        </w:rPr>
        <w:t xml:space="preserve">“Authorized clearing corporations” </w:t>
      </w:r>
      <w:r>
        <w:rPr>
          <w:rFonts w:ascii="Times New Roman" w:hAnsi="Times New Roman"/>
          <w:b w:val="false"/>
          <w:i w:val="false"/>
          <w:color w:val="000000"/>
          <w:sz w:val="22"/>
        </w:rPr>
        <w:t xml:space="preserve">means the following organizations, which are hereby recognized by the commissioner as authorized clearing corporations for purposes of Iowa Code section </w:t>
      </w:r>
      <w:hyperlink r:id="rId9">
        <w:r>
          <w:rPr>
            <w:rStyle w:val="Hyperlink"/>
            <w:rFonts w:ascii="Times New Roman" w:hAnsi="Times New Roman"/>
            <w:b w:val="false"/>
            <w:i w:val="false"/>
            <w:color w:val="000000"/>
            <w:sz w:val="22"/>
          </w:rPr>
          <w:t>511.8, subsection 21,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 (2)</w:t>
        </w:r>
      </w:hyperlink>
      <w:r>
        <w:rPr>
          <w:rFonts w:ascii="Times New Roman" w:hAnsi="Times New Roman"/>
          <w:b w:val="false"/>
          <w:i w:val="false"/>
          <w:color w:val="000000"/>
          <w:sz w:val="22"/>
        </w:rPr>
        <w:t>, and such other corporations as the commissioner may from time to time designate: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Depository Trust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Midwest Securities Trust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Pacific Securities Depository Trust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Philadelphia Depository Trust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Euroclear Clearance Ltd.</w:t>
      </w:r>
    </w:p>
    <w:p>
      <w:pPr>
        <w:spacing w:before="0" w:after="0"/>
        <w:ind w:left="120"/>
        <w:jc w:val="both"/>
      </w:pPr>
      <w:r>
        <w:rPr>
          <w:rFonts w:ascii="Times New Roman" w:hAnsi="Times New Roman"/>
          <w:b/>
          <w:i w:val="false"/>
          <w:color w:val="000000"/>
          <w:sz w:val="22"/>
        </w:rPr>
        <w:t>191—32.3</w:t>
      </w:r>
      <w:r>
        <w:rPr>
          <w:rFonts w:ascii="Times New Roman" w:hAnsi="Times New Roman"/>
          <w:b/>
          <w:i w:val="false"/>
          <w:color w:val="000000"/>
          <w:sz w:val="22"/>
        </w:rPr>
        <w:t xml:space="preserve">(508) </w:t>
      </w:r>
      <w:r>
        <w:rPr>
          <w:rFonts w:ascii="Times New Roman" w:hAnsi="Times New Roman"/>
          <w:b/>
          <w:i w:val="false"/>
          <w:color w:val="000000"/>
          <w:sz w:val="22"/>
        </w:rPr>
        <w:t xml:space="preserve">Requirements upon custodial account and custodial agreement. </w:t>
      </w:r>
      <w:r>
        <w:rPr>
          <w:rFonts w:ascii="Times New Roman" w:hAnsi="Times New Roman"/>
          <w:b w:val="false"/>
          <w:i w:val="false"/>
          <w:color w:val="000000"/>
          <w:sz w:val="22"/>
        </w:rPr>
        <w:t xml:space="preserve">Custodied securities may be used to meet the legal reserve deposit requirements of Iowa Code section </w:t>
      </w:r>
      <w:hyperlink r:id="rId10">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subsection 16, provided such securities are held under written agreement with a custodian which provides: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val="false"/>
          <w:color w:val="000000"/>
          <w:sz w:val="22"/>
        </w:rPr>
        <w:t>That the custodial account is to be titled as follows: “____________ Insurance Company Account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______ in custody for and to vest in the Commissioner of Insurance of the State of Iowa in accordance with Iowa Code sections </w:t>
      </w:r>
      <w:hyperlink r:id="rId11">
        <w:r>
          <w:rPr>
            <w:rStyle w:val="Hyperlink"/>
            <w:rFonts w:ascii="Times New Roman" w:hAnsi="Times New Roman"/>
            <w:b w:val="false"/>
            <w:i w:val="false"/>
            <w:color w:val="000000"/>
            <w:sz w:val="22"/>
          </w:rPr>
          <w:t>507C.18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508.19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notify the custodian, in writing, that a “Minimum Aggregate Value of Securities” must be held in the custodial account at all times. The commissioner’s notice remains in full force and effect until amended or revoked in writing by the commissioner. The company shall, on or before the fifteenth day of each month certify to the commissioner on a form provided by the commissioner that the aggregate value (determined as provided by Iowa Code section </w:t>
      </w:r>
      <w:hyperlink r:id="rId13">
        <w:r>
          <w:rPr>
            <w:rStyle w:val="Hyperlink"/>
            <w:rFonts w:ascii="Times New Roman" w:hAnsi="Times New Roman"/>
            <w:b w:val="false"/>
            <w:i w:val="false"/>
            <w:color w:val="000000"/>
            <w:sz w:val="22"/>
          </w:rPr>
          <w:t>511.8, subsection 17</w:t>
        </w:r>
      </w:hyperlink>
      <w:r>
        <w:rPr>
          <w:rFonts w:ascii="Times New Roman" w:hAnsi="Times New Roman"/>
          <w:b w:val="false"/>
          <w:i w:val="false"/>
          <w:color w:val="000000"/>
          <w:sz w:val="22"/>
        </w:rPr>
        <w:t xml:space="preserve">) of securities on deposit with the commissioner in the manner specified by Iowa Code section </w:t>
      </w:r>
      <w:hyperlink r:id="rId14">
        <w:r>
          <w:rPr>
            <w:rStyle w:val="Hyperlink"/>
            <w:rFonts w:ascii="Times New Roman" w:hAnsi="Times New Roman"/>
            <w:b w:val="false"/>
            <w:i w:val="false"/>
            <w:color w:val="000000"/>
            <w:sz w:val="22"/>
          </w:rPr>
          <w:t>511.8, subsection 16</w:t>
        </w:r>
      </w:hyperlink>
      <w:r>
        <w:rPr>
          <w:rFonts w:ascii="Times New Roman" w:hAnsi="Times New Roman"/>
          <w:b w:val="false"/>
          <w:i w:val="false"/>
          <w:color w:val="000000"/>
          <w:sz w:val="22"/>
        </w:rPr>
        <w:t xml:space="preserve">, and in the custodial account as of the last day of the preceding month was at least equal to the company’s legal reserve (as defined in Iowa Code section </w:t>
      </w:r>
      <w:hyperlink r:id="rId15">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xml:space="preserve">) as of the last day of the preceding year. In the event the company fails or refuses to make the certification provided in this subrule, or in the event the commissioner is authorized or directed by reason of any determination, appointment, or order pursuant to Iowa Code section </w:t>
      </w:r>
      <w:hyperlink r:id="rId16">
        <w:r>
          <w:rPr>
            <w:rStyle w:val="Hyperlink"/>
            <w:rFonts w:ascii="Times New Roman" w:hAnsi="Times New Roman"/>
            <w:b w:val="false"/>
            <w:i w:val="false"/>
            <w:color w:val="000000"/>
            <w:sz w:val="22"/>
          </w:rPr>
          <w:t>507C.18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508.17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508.18</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508.22</w:t>
        </w:r>
      </w:hyperlink>
      <w:r>
        <w:rPr>
          <w:rFonts w:ascii="Times New Roman" w:hAnsi="Times New Roman"/>
          <w:b w:val="false"/>
          <w:i w:val="false"/>
          <w:color w:val="000000"/>
          <w:sz w:val="22"/>
        </w:rPr>
        <w:t xml:space="preserve">, the commissioner may acquire custody or otherwise assume control of the custodied securities, and may order reregistration, delivery, or other disposition which the commissioner deems appropriate under the circumstances. In addition, if the commissioner has reason to believe that a company may be insolvent, or that its condition is such as to render its further continuance in business hazardous to the public or holders of its policies, or that continued trading by the company in custodied securities may create a hazard to the public or policyholders, the commissioner may order the company to cease trading in custodied securities pending examination as provided in Iowa Code section </w:t>
      </w:r>
      <w:hyperlink r:id="rId20">
        <w:r>
          <w:rPr>
            <w:rStyle w:val="Hyperlink"/>
            <w:rFonts w:ascii="Times New Roman" w:hAnsi="Times New Roman"/>
            <w:b w:val="false"/>
            <w:i w:val="false"/>
            <w:color w:val="000000"/>
            <w:sz w:val="22"/>
          </w:rPr>
          <w:t>508.16</w:t>
        </w:r>
      </w:hyperlink>
      <w:r>
        <w:rPr>
          <w:rFonts w:ascii="Times New Roman" w:hAnsi="Times New Roman"/>
          <w:b w:val="false"/>
          <w:i w:val="false"/>
          <w:color w:val="000000"/>
          <w:sz w:val="22"/>
        </w:rPr>
        <w:t>. The company may from time to time deposit or withdraw securities from the custodial account, subject to the stated “Minimum Aggregate Value of Securities” on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val="false"/>
          <w:color w:val="000000"/>
          <w:sz w:val="22"/>
        </w:rPr>
        <w:t>That securities held in a fungible bulk by the custodian and securities in a clearing corporation or in the federal reserve book entry system shall be separately identified on the custodian’s official records as being owned by the company. The custodian’s records shall identify which custodied securities are held by the custodian and which securities are in a clearing corporation or in the federal reserve book entry system. If the securities are in a clearing corporation, such records shall also identify the name of the clearing corporation, the location of the securities, and, if held through an agent, the name of the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val="false"/>
          <w:color w:val="000000"/>
          <w:sz w:val="22"/>
        </w:rPr>
        <w:t>That all custodied securities that are registered must be registered in the name of the company, in the name of a nominee of a company, in the name of the custodian or its nominee, in the name of an agent of the custodian or its nominee, or, if held in a clearing corporation, in the name of the clearing corporation or its nominee.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val="false"/>
          <w:color w:val="000000"/>
          <w:sz w:val="22"/>
        </w:rPr>
        <w:t>That during the course of the custodian’s regular business hours, the commissioner or the commissioner’s representative and authorized employees and representatives of the company, shall be entitled to examine on the premises of the custodian the custodian’s records relating to custodied securities of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32.3(6)</w:t>
      </w:r>
      <w:r>
        <w:rPr>
          <w:rFonts w:ascii="Times New Roman" w:hAnsi="Times New Roman"/>
          <w:b w:val="false"/>
          <w:i w:val="false"/>
          <w:color w:val="000000"/>
          <w:sz w:val="22"/>
        </w:rPr>
        <w:t> </w:t>
      </w:r>
      <w:r>
        <w:rPr>
          <w:rFonts w:ascii="Times New Roman" w:hAnsi="Times New Roman"/>
          <w:b w:val="false"/>
          <w:i w:val="false"/>
          <w:color w:val="000000"/>
          <w:sz w:val="22"/>
        </w:rPr>
        <w:t>That the custodian or its agents shall be required to submit to the commissioner, at least annually, or more often as the commissioner may from time to time request, the opinion(s) of an auditor who shall be satisfactory to the commissioner specifically addressing the respective systems of internal account control and record keeping of the custodian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32.3(7)</w:t>
      </w:r>
      <w:r>
        <w:rPr>
          <w:rFonts w:ascii="Times New Roman" w:hAnsi="Times New Roman"/>
          <w:b w:val="false"/>
          <w:i w:val="false"/>
          <w:color w:val="000000"/>
          <w:sz w:val="22"/>
        </w:rPr>
        <w:t> </w:t>
      </w:r>
      <w:r>
        <w:rPr>
          <w:rFonts w:ascii="Times New Roman" w:hAnsi="Times New Roman"/>
          <w:b w:val="false"/>
          <w:i w:val="false"/>
          <w:color w:val="000000"/>
          <w:sz w:val="22"/>
        </w:rPr>
        <w:t>That the custodian shall maintain records sufficient to determine and verify information relating to custodied securities that may be reported in the company’s annual statement and supporting schedules as filed with various regulatory authorities and in connection with any audit of the financial statements of the company. Copies of these records shall be delivered to the commissioner upon written request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32.3(8)</w:t>
      </w:r>
      <w:r>
        <w:rPr>
          <w:rFonts w:ascii="Times New Roman" w:hAnsi="Times New Roman"/>
          <w:b w:val="false"/>
          <w:i w:val="false"/>
          <w:color w:val="000000"/>
          <w:sz w:val="22"/>
        </w:rPr>
        <w:t> </w:t>
      </w:r>
      <w:r>
        <w:rPr>
          <w:rFonts w:ascii="Times New Roman" w:hAnsi="Times New Roman"/>
          <w:b w:val="false"/>
          <w:i w:val="false"/>
          <w:color w:val="000000"/>
          <w:sz w:val="22"/>
        </w:rPr>
        <w:t>That the custodian is obligated to indemnify the company for any loss of securities while in its custody occasioned by negligence or dishonesty of the custodian’s officers or employees, or burglary, robbery, holdup, theft, extortion, or mysterious disappearance, including loss by damage or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32.3(9)</w:t>
      </w:r>
      <w:r>
        <w:rPr>
          <w:rFonts w:ascii="Times New Roman" w:hAnsi="Times New Roman"/>
          <w:b w:val="false"/>
          <w:i w:val="false"/>
          <w:color w:val="000000"/>
          <w:sz w:val="22"/>
        </w:rPr>
        <w:t> </w:t>
      </w:r>
      <w:r>
        <w:rPr>
          <w:rFonts w:ascii="Times New Roman" w:hAnsi="Times New Roman"/>
          <w:b w:val="false"/>
          <w:i w:val="false"/>
          <w:color w:val="000000"/>
          <w:sz w:val="22"/>
        </w:rPr>
        <w:t>That, in the event there is a loss of the securities for which the custodian is obligated to indemnify the company, the custodian shall promptly replace the same, or the value thereof, and the value of any loss of rights or privileges resulting from said loss of securities and the custodian shall make available to the company for inspection any and all securities or value amounts so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32.3(10)</w:t>
      </w:r>
      <w:r>
        <w:rPr>
          <w:rFonts w:ascii="Times New Roman" w:hAnsi="Times New Roman"/>
          <w:b w:val="false"/>
          <w:i w:val="false"/>
          <w:color w:val="000000"/>
          <w:sz w:val="22"/>
        </w:rPr>
        <w:t> </w:t>
      </w:r>
      <w:r>
        <w:rPr>
          <w:rFonts w:ascii="Times New Roman" w:hAnsi="Times New Roman"/>
          <w:b w:val="false"/>
          <w:i w:val="false"/>
          <w:color w:val="000000"/>
          <w:sz w:val="22"/>
        </w:rPr>
        <w:t>That minimum levels of deposits of securities at face values totaling $100,000 shall be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32.3(11)</w:t>
      </w:r>
      <w:r>
        <w:rPr>
          <w:rFonts w:ascii="Times New Roman" w:hAnsi="Times New Roman"/>
          <w:b w:val="false"/>
          <w:i w:val="false"/>
          <w:color w:val="000000"/>
          <w:sz w:val="22"/>
        </w:rPr>
        <w:t> </w:t>
      </w:r>
      <w:r>
        <w:rPr>
          <w:rFonts w:ascii="Times New Roman" w:hAnsi="Times New Roman"/>
          <w:b w:val="false"/>
          <w:i w:val="false"/>
          <w:color w:val="000000"/>
          <w:sz w:val="22"/>
        </w:rPr>
        <w:t>The custodial agreement may contain additional specific operating instructions, controls and provisions concerning the operation of the custodial account provided such operating instructions, controls and provisions are not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32.3(12)</w:t>
      </w:r>
      <w:r>
        <w:rPr>
          <w:rFonts w:ascii="Times New Roman" w:hAnsi="Times New Roman"/>
          <w:b w:val="false"/>
          <w:i w:val="false"/>
          <w:color w:val="000000"/>
          <w:sz w:val="22"/>
        </w:rPr>
        <w:t> </w:t>
      </w:r>
      <w:r>
        <w:rPr>
          <w:rFonts w:ascii="Times New Roman" w:hAnsi="Times New Roman"/>
          <w:b w:val="false"/>
          <w:i w:val="false"/>
          <w:color w:val="000000"/>
          <w:sz w:val="22"/>
        </w:rPr>
        <w:t>Custodial agreements shall be submitted by a company to the commissioner for the commissioner’s review prior to execution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32.3(13)</w:t>
      </w:r>
      <w:r>
        <w:rPr>
          <w:rFonts w:ascii="Times New Roman" w:hAnsi="Times New Roman"/>
          <w:b w:val="false"/>
          <w:i w:val="false"/>
          <w:color w:val="000000"/>
          <w:sz w:val="22"/>
        </w:rPr>
        <w:t> </w:t>
      </w:r>
      <w:r>
        <w:rPr>
          <w:rFonts w:ascii="Times New Roman" w:hAnsi="Times New Roman"/>
          <w:b w:val="false"/>
          <w:i w:val="false"/>
          <w:color w:val="000000"/>
          <w:sz w:val="22"/>
        </w:rPr>
        <w:t>That the custodial agreement may be amended or terminated only with the prior approval of the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511.8(21)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191—32.4</w:t>
      </w:r>
      <w:r>
        <w:rPr>
          <w:rFonts w:ascii="Times New Roman" w:hAnsi="Times New Roman"/>
          <w:b/>
          <w:i w:val="false"/>
          <w:color w:val="000000"/>
          <w:sz w:val="22"/>
        </w:rPr>
        <w:t xml:space="preserve">(508) </w:t>
      </w:r>
      <w:r>
        <w:rPr>
          <w:rFonts w:ascii="Times New Roman" w:hAnsi="Times New Roman"/>
          <w:b/>
          <w:i w:val="false"/>
          <w:color w:val="000000"/>
          <w:sz w:val="22"/>
        </w:rPr>
        <w:t xml:space="preserve">Requirements upon custodians. </w:t>
      </w:r>
      <w:r>
        <w:rPr>
          <w:rFonts w:ascii="Times New Roman" w:hAnsi="Times New Roman"/>
          <w:b w:val="false"/>
          <w:i w:val="false"/>
          <w:color w:val="000000"/>
          <w:sz w:val="22"/>
        </w:rPr>
        <w:t xml:space="preserve">The custodian shall be a bank or trust company having its principal place of business in the United States, selected by the company to act as the custodian under an agreement authorized by Iowa Code section </w:t>
      </w:r>
      <w:hyperlink r:id="rId22">
        <w:r>
          <w:rPr>
            <w:rStyle w:val="Hyperlink"/>
            <w:rFonts w:ascii="Times New Roman" w:hAnsi="Times New Roman"/>
            <w:b w:val="false"/>
            <w:i w:val="false"/>
            <w:color w:val="000000"/>
            <w:sz w:val="22"/>
          </w:rPr>
          <w:t>511.8, subsection 21</w:t>
        </w:r>
      </w:hyperlink>
      <w:r>
        <w:rPr>
          <w:rFonts w:ascii="Times New Roman" w:hAnsi="Times New Roman"/>
          <w:b w:val="false"/>
          <w:i w:val="false"/>
          <w:color w:val="000000"/>
          <w:sz w:val="22"/>
        </w:rPr>
        <w:t>, and shall possess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32.4(1)</w:t>
      </w:r>
      <w:r>
        <w:rPr>
          <w:rFonts w:ascii="Times New Roman" w:hAnsi="Times New Roman"/>
          <w:b w:val="false"/>
          <w:i w:val="false"/>
          <w:color w:val="000000"/>
          <w:sz w:val="22"/>
        </w:rPr>
        <w:t> </w:t>
      </w:r>
      <w:r>
        <w:rPr>
          <w:rFonts w:ascii="Times New Roman" w:hAnsi="Times New Roman"/>
          <w:b w:val="false"/>
          <w:i w:val="false"/>
          <w:color w:val="000000"/>
          <w:sz w:val="22"/>
        </w:rPr>
        <w:t>The custodian shall be audited annually by independent public accountants whose audit report, together with the related financial statements, and opinion on internal controls shall be made available to the company and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w:t>
      </w:r>
      <w:r>
        <w:rPr>
          <w:rFonts w:ascii="Times New Roman" w:hAnsi="Times New Roman"/>
          <w:b w:val="false"/>
          <w:i w:val="false"/>
          <w:color w:val="000000"/>
          <w:sz w:val="22"/>
        </w:rPr>
        <w:t> </w:t>
      </w:r>
      <w:r>
        <w:rPr>
          <w:rFonts w:ascii="Times New Roman" w:hAnsi="Times New Roman"/>
          <w:b w:val="false"/>
          <w:i w:val="false"/>
          <w:color w:val="000000"/>
          <w:sz w:val="22"/>
        </w:rPr>
        <w:t>The laws governing the custodian shall recognize that the custodied securities remain the specific property of the company, and are not subject to the claim of any third parties arising out of the third party’s claim against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32.4(3)</w:t>
      </w:r>
      <w:r>
        <w:rPr>
          <w:rFonts w:ascii="Times New Roman" w:hAnsi="Times New Roman"/>
          <w:b w:val="false"/>
          <w:i w:val="false"/>
          <w:color w:val="000000"/>
          <w:sz w:val="22"/>
        </w:rPr>
        <w:t> </w:t>
      </w:r>
      <w:r>
        <w:rPr>
          <w:rFonts w:ascii="Times New Roman" w:hAnsi="Times New Roman"/>
          <w:b w:val="false"/>
          <w:i w:val="false"/>
          <w:color w:val="000000"/>
          <w:sz w:val="22"/>
        </w:rPr>
        <w:t>The custodian shall maintain blanket bond coverage relating to its custodial functions with limits satisfactory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32.4(4)</w:t>
      </w:r>
      <w:r>
        <w:rPr>
          <w:rFonts w:ascii="Times New Roman" w:hAnsi="Times New Roman"/>
          <w:b w:val="false"/>
          <w:i w:val="false"/>
          <w:color w:val="000000"/>
          <w:sz w:val="22"/>
        </w:rPr>
        <w:t> </w:t>
      </w:r>
      <w:r>
        <w:rPr>
          <w:rFonts w:ascii="Times New Roman" w:hAnsi="Times New Roman"/>
          <w:b w:val="false"/>
          <w:i w:val="false"/>
          <w:color w:val="000000"/>
          <w:sz w:val="22"/>
        </w:rPr>
        <w:t>The custodian’s capital and surplus funds shall at all times equal or exceed $25 million and the custodian shall at all times have assets in excess of $500 million, unless the commissioner finds that a particular custodian with less than that amount of funds or assets would possess the requisite stability and soundness to perform the custodial functions without detriment to a company’s policyholders.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511.8, subsection 21,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i w:val="false"/>
          <w:color w:val="000000"/>
          <w:sz w:val="22"/>
        </w:rPr>
        <w:t>191—32.5</w:t>
      </w:r>
      <w:r>
        <w:rPr>
          <w:rFonts w:ascii="Times New Roman" w:hAnsi="Times New Roman"/>
          <w:b/>
          <w:i w:val="false"/>
          <w:color w:val="000000"/>
          <w:sz w:val="22"/>
        </w:rPr>
        <w:t xml:space="preserve">(508,511) </w:t>
      </w:r>
      <w:r>
        <w:rPr>
          <w:rFonts w:ascii="Times New Roman" w:hAnsi="Times New Roman"/>
          <w:b/>
          <w:i w:val="false"/>
          <w:color w:val="000000"/>
          <w:sz w:val="22"/>
        </w:rPr>
        <w:t xml:space="preserve">Deposit of securities. </w:t>
      </w:r>
      <w:r>
        <w:rPr>
          <w:rFonts w:ascii="Times New Roman" w:hAnsi="Times New Roman"/>
          <w:b w:val="false"/>
          <w:i w:val="false"/>
          <w:color w:val="000000"/>
          <w:sz w:val="22"/>
        </w:rPr>
        <w:t xml:space="preserve">Banks or trust companies meeting the requirements of rule </w:t>
      </w:r>
      <w:hyperlink r:id="rId24">
        <w:r>
          <w:rPr>
            <w:rStyle w:val="Hyperlink"/>
            <w:rFonts w:ascii="Times New Roman" w:hAnsi="Times New Roman"/>
            <w:b w:val="false"/>
            <w:i w:val="false"/>
            <w:color w:val="000000"/>
            <w:sz w:val="22"/>
          </w:rPr>
          <w:t>32.4</w:t>
        </w:r>
      </w:hyperlink>
      <w:r>
        <w:rPr>
          <w:rFonts w:ascii="Times New Roman" w:hAnsi="Times New Roman"/>
          <w:b w:val="false"/>
          <w:i w:val="false"/>
          <w:color w:val="000000"/>
          <w:sz w:val="22"/>
        </w:rPr>
        <w:t xml:space="preserve">(508) are hereby designated by the commissioner as places for the deposits under Iowa Code sections </w:t>
      </w:r>
      <w:hyperlink r:id="rId25">
        <w:r>
          <w:rPr>
            <w:rStyle w:val="Hyperlink"/>
            <w:rFonts w:ascii="Times New Roman" w:hAnsi="Times New Roman"/>
            <w:b w:val="false"/>
            <w:i w:val="false"/>
            <w:color w:val="000000"/>
            <w:sz w:val="22"/>
          </w:rPr>
          <w:t>508.6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511.8(16)</w:t>
        </w:r>
      </w:hyperlink>
      <w:r>
        <w:rPr>
          <w:rFonts w:ascii="Times New Roman" w:hAnsi="Times New Roman"/>
          <w:b w:val="false"/>
          <w:i w:val="false"/>
          <w:color w:val="000000"/>
          <w:sz w:val="22"/>
        </w:rPr>
        <w:t>. Securities required to be deposited under these Iowa Code sections shall no longer be deposited with the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508.6</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511.8, subsection 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10/19/83, Notice 9/14/83—published 11/9/83, effective 10/19/83]</w:t>
      </w:r>
    </w:p>
    <w:p>
      <w:pPr>
        <w:spacing w:before="0" w:after="0"/>
        <w:ind w:left="120"/>
        <w:jc w:val="center"/>
      </w:pPr>
      <w:r>
        <w:rPr>
          <w:rFonts w:ascii="Times New Roman" w:hAnsi="Times New Roman"/>
          <w:b w:val="false"/>
          <w:i w:val="false"/>
          <w:color w:val="000000"/>
          <w:sz w:val="21"/>
        </w:rPr>
        <w:t>[Filed emergency 6/3/85—published 6/19/85, effective 7/1/85]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pdf" Type="http://schemas.openxmlformats.org/officeDocument/2006/relationships/hyperlink" Id="rId5"/>
    <Relationship TargetMode="External" Target="https://www.legis.iowa.gov/docs/ico/chapter/508.pdf" Type="http://schemas.openxmlformats.org/officeDocument/2006/relationships/hyperlink" Id="rId6"/>
    <Relationship TargetMode="External" Target="https://www.legis.iowa.gov/docs/ico/chapter/511.8.pdf" Type="http://schemas.openxmlformats.org/officeDocument/2006/relationships/hyperlink" Id="rId7"/>
    <Relationship TargetMode="External" Target="https://www.legis.iowa.gov/docs/iac/rule/191.32.4.pdf" Type="http://schemas.openxmlformats.org/officeDocument/2006/relationships/hyperlink" Id="rId8"/>
    <Relationship TargetMode="External" Target="https://www.legis.iowa.gov/docs/ico/chapter/511.8.pdf" Type="http://schemas.openxmlformats.org/officeDocument/2006/relationships/hyperlink" Id="rId9"/>
    <Relationship TargetMode="External" Target="https://www.legis.iowa.gov/docs/ico/chapter/511.8.pdf" Type="http://schemas.openxmlformats.org/officeDocument/2006/relationships/hyperlink" Id="rId10"/>
    <Relationship TargetMode="External" Target="https://www.legis.iowa.gov/docs/ico/chapter/507C.18.pdf" Type="http://schemas.openxmlformats.org/officeDocument/2006/relationships/hyperlink" Id="rId11"/>
    <Relationship TargetMode="External" Target="https://www.legis.iowa.gov/docs/ico/chapter/508.19.pdf" Type="http://schemas.openxmlformats.org/officeDocument/2006/relationships/hyperlink" Id="rId12"/>
    <Relationship TargetMode="External" Target="https://www.legis.iowa.gov/docs/ico/chapter/511.8.pdf" Type="http://schemas.openxmlformats.org/officeDocument/2006/relationships/hyperlink" Id="rId13"/>
    <Relationship TargetMode="External" Target="https://www.legis.iowa.gov/docs/ico/chapter/511.8.pdf" Type="http://schemas.openxmlformats.org/officeDocument/2006/relationships/hyperlink" Id="rId14"/>
    <Relationship TargetMode="External" Target="https://www.legis.iowa.gov/docs/ico/chapter/511.8.pdf" Type="http://schemas.openxmlformats.org/officeDocument/2006/relationships/hyperlink" Id="rId15"/>
    <Relationship TargetMode="External" Target="https://www.legis.iowa.gov/docs/ico/chapter/507C.18.pdf" Type="http://schemas.openxmlformats.org/officeDocument/2006/relationships/hyperlink" Id="rId16"/>
    <Relationship TargetMode="External" Target="https://www.legis.iowa.gov/docs/ico/chapter/508.17.pdf" Type="http://schemas.openxmlformats.org/officeDocument/2006/relationships/hyperlink" Id="rId17"/>
    <Relationship TargetMode="External" Target="https://www.legis.iowa.gov/docs/ico/chapter/508.18.pdf" Type="http://schemas.openxmlformats.org/officeDocument/2006/relationships/hyperlink" Id="rId18"/>
    <Relationship TargetMode="External" Target="https://www.legis.iowa.gov/docs/ico/chapter/508.22.pdf" Type="http://schemas.openxmlformats.org/officeDocument/2006/relationships/hyperlink" Id="rId19"/>
    <Relationship TargetMode="External" Target="https://www.legis.iowa.gov/docs/ico/chapter/508.16.pdf" Type="http://schemas.openxmlformats.org/officeDocument/2006/relationships/hyperlink" Id="rId20"/>
    <Relationship TargetMode="External" Target="https://www.legis.iowa.gov/docs/ico/chapter/511.8.pdf" Type="http://schemas.openxmlformats.org/officeDocument/2006/relationships/hyperlink" Id="rId21"/>
    <Relationship TargetMode="External" Target="https://www.legis.iowa.gov/docs/ico/chapter/511.8.pdf" Type="http://schemas.openxmlformats.org/officeDocument/2006/relationships/hyperlink" Id="rId22"/>
    <Relationship TargetMode="External" Target="https://www.legis.iowa.gov/docs/ico/chapter/511.8.pdf" Type="http://schemas.openxmlformats.org/officeDocument/2006/relationships/hyperlink" Id="rId23"/>
    <Relationship TargetMode="External" Target="https://www.legis.iowa.gov/docs/iac/rule/191.32.4.pdf" Type="http://schemas.openxmlformats.org/officeDocument/2006/relationships/hyperlink" Id="rId24"/>
    <Relationship TargetMode="External" Target="https://www.legis.iowa.gov/docs/ico/chapter/508.6.pdf" Type="http://schemas.openxmlformats.org/officeDocument/2006/relationships/hyperlink" Id="rId25"/>
    <Relationship TargetMode="External" Target="https://www.legis.iowa.gov/docs/ico/chapter/511.8.pdf" Type="http://schemas.openxmlformats.org/officeDocument/2006/relationships/hyperlink" Id="rId26"/>
    <Relationship TargetMode="External" Target="https://www.legis.iowa.gov/docs/ico/chapter/508.6.pdf" Type="http://schemas.openxmlformats.org/officeDocument/2006/relationships/hyperlink" Id="rId27"/>
    <Relationship TargetMode="External" Target="https://www.legis.iowa.gov/docs/ico/chapter/511.8.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