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LIFE AND HEALTH INSURANCE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LIFE INSURANCE POLICIES</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191—30.1</w:t>
      </w:r>
      <w:r>
        <w:rPr>
          <w:rFonts w:ascii="Times New Roman" w:hAnsi="Times New Roman"/>
          <w:b/>
          <w:i w:val="false"/>
          <w:color w:val="000000"/>
          <w:sz w:val="22"/>
        </w:rPr>
        <w:t xml:space="preserve">(508) </w:t>
      </w:r>
      <w:r>
        <w:rPr>
          <w:rFonts w:ascii="Times New Roman" w:hAnsi="Times New Roman"/>
          <w:b/>
          <w:i w:val="false"/>
          <w:color w:val="000000"/>
          <w:sz w:val="22"/>
        </w:rPr>
        <w:t xml:space="preserve">Purpose. </w:t>
      </w:r>
      <w:r>
        <w:rPr>
          <w:rFonts w:ascii="Times New Roman" w:hAnsi="Times New Roman"/>
          <w:b w:val="false"/>
          <w:i w:val="false"/>
          <w:color w:val="000000"/>
          <w:sz w:val="22"/>
        </w:rPr>
        <w:t>In the best interest of the citizens of Iowa and to maintain a fair and honest life insurance market, certain types of life policy forms and certain policy provisions shall be either prohibited, altered or clarified as set out herein.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191—30.2</w:t>
      </w:r>
      <w:r>
        <w:rPr>
          <w:rFonts w:ascii="Times New Roman" w:hAnsi="Times New Roman"/>
          <w:b/>
          <w:i w:val="false"/>
          <w:color w:val="000000"/>
          <w:sz w:val="22"/>
        </w:rPr>
        <w:t xml:space="preserve">(508)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These rules shall apply to all insurance policies issued by insurance companies holding a certificate of authority under the provisions of Iowa Code chapter </w:t>
      </w:r>
      <w:hyperlink r:id="rId7">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191—30.3</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r>
        <w:rPr>
          <w:rFonts w:ascii="Times New Roman" w:hAnsi="Times New Roman"/>
          <w:b w:val="false"/>
          <w:i w:val="false"/>
          <w:color w:val="000000"/>
          <w:sz w:val="22"/>
        </w:rPr>
        <w:t>Certain life insurance policy forms and provisions referred to herein shall have the following meaning: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“Founders policy” </w:t>
      </w:r>
      <w:r>
        <w:rPr>
          <w:rFonts w:ascii="Times New Roman" w:hAnsi="Times New Roman"/>
          <w:b w:val="false"/>
          <w:i w:val="false"/>
          <w:color w:val="000000"/>
          <w:sz w:val="22"/>
        </w:rPr>
        <w:t>means a policy of insurance offered to the public by a newly organized stock life insurance company, issued on a participating basis with the representations that the purchasers will share preferentially in the future divisible surplus earnings of the company arising from all classes of business, both participating and nonparticipating, and all plans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“Profit-sharing policy” </w:t>
      </w:r>
      <w:r>
        <w:rPr>
          <w:rFonts w:ascii="Times New Roman" w:hAnsi="Times New Roman"/>
          <w:b w:val="false"/>
          <w:i w:val="false"/>
          <w:color w:val="000000"/>
          <w:sz w:val="22"/>
        </w:rPr>
        <w:t>means a policy form which contains provisions or is represented in such a way that the policyholder will be eligible to preferentially participate in any future distribution of general corporate profits.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“Coupon policy” </w:t>
      </w:r>
      <w:r>
        <w:rPr>
          <w:rFonts w:ascii="Times New Roman" w:hAnsi="Times New Roman"/>
          <w:b w:val="false"/>
          <w:i w:val="false"/>
          <w:color w:val="000000"/>
          <w:sz w:val="22"/>
        </w:rPr>
        <w:t>means a policy or contract of life insurance, other than annuity, which contains in addition to basic life insurance benefits a series of annual pure endowment benefits evidenced in the policy contract by a series of coupons each of which matures on the maturation date of an annual pure endowment. For the purposes of these rules, policies containing annual pure endowments evidenced by coupons, passbooks or other devices generally acquainted with savings, banking or investment institutions shall be considered coupon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“Pure endowment benefit” </w:t>
      </w:r>
      <w:r>
        <w:rPr>
          <w:rFonts w:ascii="Times New Roman" w:hAnsi="Times New Roman"/>
          <w:b w:val="false"/>
          <w:i w:val="false"/>
          <w:color w:val="000000"/>
          <w:sz w:val="22"/>
        </w:rPr>
        <w:t>means a guaranteed insurance benefit, actuarially determined, the payment of which is contingent upon the survival of the insured to a specific point in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191—30.4</w:t>
      </w:r>
      <w:r>
        <w:rPr>
          <w:rFonts w:ascii="Times New Roman" w:hAnsi="Times New Roman"/>
          <w:b/>
          <w:i w:val="false"/>
          <w:color w:val="000000"/>
          <w:sz w:val="22"/>
        </w:rPr>
        <w:t xml:space="preserve">(508) </w:t>
      </w:r>
      <w:r>
        <w:rPr>
          <w:rFonts w:ascii="Times New Roman" w:hAnsi="Times New Roman"/>
          <w:b/>
          <w:i w:val="false"/>
          <w:color w:val="000000"/>
          <w:sz w:val="22"/>
        </w:rPr>
        <w:t xml:space="preserve">Prohibitions, regulations and disclosure requirements. </w:t>
      </w:r>
      <w:r>
        <w:rPr>
          <w:rFonts w:ascii="Times New Roman" w:hAnsi="Times New Roman"/>
          <w:b w:val="false"/>
          <w:i w:val="false"/>
          <w:color w:val="000000"/>
          <w:sz w:val="22"/>
        </w:rPr>
        <w:t xml:space="preserve">In accordance with the purpose expressed in rule </w:t>
      </w:r>
      <w:hyperlink r:id="rId10">
        <w:r>
          <w:rPr>
            <w:rStyle w:val="Hyperlink"/>
            <w:rFonts w:ascii="Times New Roman" w:hAnsi="Times New Roman"/>
            <w:b w:val="false"/>
            <w:i w:val="false"/>
            <w:color w:val="000000"/>
            <w:sz w:val="22"/>
          </w:rPr>
          <w:t>191—30.1</w:t>
        </w:r>
      </w:hyperlink>
      <w:r>
        <w:rPr>
          <w:rFonts w:ascii="Times New Roman" w:hAnsi="Times New Roman"/>
          <w:b w:val="false"/>
          <w:i w:val="false"/>
          <w:color w:val="000000"/>
          <w:sz w:val="22"/>
        </w:rPr>
        <w:t xml:space="preserve">(508) and in conjunction with the intent of Iowa Code section </w:t>
      </w:r>
      <w:hyperlink r:id="rId11">
        <w:r>
          <w:rPr>
            <w:rStyle w:val="Hyperlink"/>
            <w:rFonts w:ascii="Times New Roman" w:hAnsi="Times New Roman"/>
            <w:b w:val="false"/>
            <w:i w:val="false"/>
            <w:color w:val="000000"/>
            <w:sz w:val="22"/>
          </w:rPr>
          <w:t>508.28</w:t>
        </w:r>
      </w:hyperlink>
      <w:r>
        <w:rPr>
          <w:rFonts w:ascii="Times New Roman" w:hAnsi="Times New Roman"/>
          <w:b w:val="false"/>
          <w:i w:val="false"/>
          <w:color w:val="000000"/>
          <w:sz w:val="22"/>
        </w:rPr>
        <w:t>, the use of certain types of policy forms and policy provisions shall be subject to the following prohibitions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color w:val="000000"/>
          <w:sz w:val="22"/>
        </w:rPr>
        <w:t xml:space="preserve">Policy names. </w:t>
      </w:r>
      <w:r>
        <w:rPr>
          <w:rFonts w:ascii="Times New Roman" w:hAnsi="Times New Roman"/>
          <w:b w:val="false"/>
          <w:i w:val="false"/>
          <w:color w:val="000000"/>
          <w:sz w:val="22"/>
        </w:rPr>
        <w:t>Any insurance policy labeled or described as a founders, charter or coupon policy or names of similar connotation shall not be approved for use in this state on or after the effective date of these rules, and furthermore no policies so named or labeled heretofore approved shall be issued or delivered in this state on or after March 1, 1964.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color w:val="000000"/>
          <w:sz w:val="22"/>
        </w:rPr>
        <w:t xml:space="preserve">Founders policy. </w:t>
      </w:r>
      <w:r>
        <w:rPr>
          <w:rFonts w:ascii="Times New Roman" w:hAnsi="Times New Roman"/>
          <w:b w:val="false"/>
          <w:i w:val="false"/>
          <w:color w:val="000000"/>
          <w:sz w:val="22"/>
        </w:rPr>
        <w:t>No founders policy as herein defined shall be approved for use in this state on or after the effective date of these rules, and furthermore no founders policy as herein defined heretofore approved shall be issued or delivered in this state on or after March 1, 1964.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color w:val="000000"/>
          <w:sz w:val="22"/>
        </w:rPr>
        <w:t xml:space="preserve">Profit-sharing policy. </w:t>
      </w:r>
      <w:r>
        <w:rPr>
          <w:rFonts w:ascii="Times New Roman" w:hAnsi="Times New Roman"/>
          <w:b w:val="false"/>
          <w:i w:val="false"/>
          <w:color w:val="000000"/>
          <w:sz w:val="22"/>
        </w:rPr>
        <w:t>No profit-sharing policy shall be approved for use in this state on or after the effective date of these rules, and furthermore no profit-sharing policy heretofore approved shall be issued or delivered in this state on or after March 1, 1964. This subrule does not intend to restrict or prohibit the sale in this state of any participating life insurance policy where the dividend or abatement of premium is derived solely from the profits of that class of participating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w:t>
      </w:r>
      <w:r>
        <w:rPr>
          <w:rFonts w:ascii="Times New Roman" w:hAnsi="Times New Roman"/>
          <w:b w:val="false"/>
          <w:i w:val="false"/>
          <w:color w:val="000000"/>
          <w:sz w:val="22"/>
        </w:rPr>
        <w:t> </w:t>
      </w:r>
      <w:r>
        <w:rPr>
          <w:rFonts w:ascii="Times New Roman" w:hAnsi="Times New Roman"/>
          <w:b w:val="false"/>
          <w:i/>
          <w:color w:val="000000"/>
          <w:sz w:val="22"/>
        </w:rPr>
        <w:t xml:space="preserve">Coupon policy. </w:t>
      </w:r>
      <w:r>
        <w:rPr>
          <w:rFonts w:ascii="Times New Roman" w:hAnsi="Times New Roman"/>
          <w:b w:val="false"/>
          <w:i w:val="false"/>
          <w:color w:val="000000"/>
          <w:sz w:val="22"/>
        </w:rPr>
        <w:t>No coupon policy shall be approved or issued in this state after the effective date of these rules, and furthermore no coupon policy heretofore approved shall be issued or delivered in this state on or after March 1, 1964.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w:t>
      </w:r>
      <w:r>
        <w:rPr>
          <w:rFonts w:ascii="Times New Roman" w:hAnsi="Times New Roman"/>
          <w:b w:val="false"/>
          <w:i w:val="false"/>
          <w:color w:val="000000"/>
          <w:sz w:val="22"/>
        </w:rPr>
        <w:t> </w:t>
      </w:r>
      <w:r>
        <w:rPr>
          <w:rFonts w:ascii="Times New Roman" w:hAnsi="Times New Roman"/>
          <w:b w:val="false"/>
          <w:i/>
          <w:color w:val="000000"/>
          <w:sz w:val="22"/>
        </w:rPr>
        <w:t xml:space="preserve">Guaranteed pure endowment benefits. </w:t>
      </w:r>
      <w:r>
        <w:rPr>
          <w:rFonts w:ascii="Times New Roman" w:hAnsi="Times New Roman"/>
          <w:b w:val="false"/>
          <w:i w:val="false"/>
          <w:color w:val="000000"/>
          <w:sz w:val="22"/>
        </w:rPr>
        <w:t>No policy containing a series of guaranteed pure endowment benefits shall be approved for use after the effective date of these rules unless it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gross premium charged for this benefit shall be separately stated in a size and style of type equal in prominence to that stating the gross premium for the other benefits contained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payment of any guaranteed pure endowment benefit shall not be made contingent upon the payment of premiums falling due on or after the time the pure endowment benefit has matured.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the guaranteed series of pure endowment benefits shall be expressed in dollar amounts and shall not be presented or defined, either in the policy or any sales and advertising material, as a “percentage” of any of the premiums or benefits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participating policy shall include as part of its benefits a guaranteed pure endowment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language and terminology of the policy or any of the sales and advertising materials used in connection with any policy, which has a series of pure endowment benefits therein, shall not purport to represent the pure endowment benefit of the policy to be anything other than a guaranteed insurance benefit for which a premium is being paid by the policyholder.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508.25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508.28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191—30.5</w:t>
      </w:r>
      <w:r>
        <w:rPr>
          <w:rFonts w:ascii="Times New Roman" w:hAnsi="Times New Roman"/>
          <w:b/>
          <w:i w:val="false"/>
          <w:color w:val="000000"/>
          <w:sz w:val="22"/>
        </w:rPr>
        <w:t xml:space="preserve">(508) </w:t>
      </w:r>
      <w:r>
        <w:rPr>
          <w:rFonts w:ascii="Times New Roman" w:hAnsi="Times New Roman"/>
          <w:b/>
          <w:i w:val="false"/>
          <w:color w:val="000000"/>
          <w:sz w:val="22"/>
        </w:rPr>
        <w:t xml:space="preserve">General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val="false"/>
          <w:color w:val="000000"/>
          <w:sz w:val="22"/>
        </w:rPr>
        <w:t xml:space="preserve">Insurance companies required to file rates or forms with the division shall submit required rate and form filings pursuant to rule </w:t>
      </w:r>
      <w:hyperlink r:id="rId14">
        <w:r>
          <w:rPr>
            <w:rStyle w:val="Hyperlink"/>
            <w:rFonts w:ascii="Times New Roman" w:hAnsi="Times New Roman"/>
            <w:b w:val="false"/>
            <w:i w:val="false"/>
            <w:color w:val="000000"/>
            <w:sz w:val="22"/>
          </w:rPr>
          <w:t>191—20.1</w:t>
        </w:r>
      </w:hyperlink>
      <w:r>
        <w:rPr>
          <w:rFonts w:ascii="Times New Roman" w:hAnsi="Times New Roman"/>
          <w:b w:val="false"/>
          <w:i w:val="false"/>
          <w:color w:val="000000"/>
          <w:sz w:val="22"/>
        </w:rPr>
        <w:t>(505,509,514A,515,515A,515F).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val="false"/>
          <w:color w:val="000000"/>
          <w:sz w:val="22"/>
        </w:rPr>
        <w:t>Each filing must be submitted to the division of insurance not less than 60 days prior to the effective date of the filing, unless the 60-day period is waived by the division for good cause. Any deficiencies or discrepancies in the filing will delay final approval. In case of disapproval, the company will be notified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w:t>
      </w:r>
      <w:r>
        <w:rPr>
          <w:rFonts w:ascii="Times New Roman" w:hAnsi="Times New Roman"/>
          <w:b w:val="false"/>
          <w:i w:val="false"/>
          <w:color w:val="000000"/>
          <w:sz w:val="22"/>
        </w:rPr>
        <w:t> </w:t>
      </w:r>
      <w:r>
        <w:rPr>
          <w:rFonts w:ascii="Times New Roman" w:hAnsi="Times New Roman"/>
          <w:b w:val="false"/>
          <w:i w:val="false"/>
          <w:color w:val="000000"/>
          <w:sz w:val="22"/>
        </w:rPr>
        <w:t>A filing which has not been previously approved, disapproved or questioned shall be deemed approved on or after 30 days from its receipt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insured or established organization with one or more insureds among its members may object to a form or rate filing pursuant to rule </w:t>
      </w:r>
      <w:hyperlink r:id="rId15">
        <w:r>
          <w:rPr>
            <w:rStyle w:val="Hyperlink"/>
            <w:rFonts w:ascii="Times New Roman" w:hAnsi="Times New Roman"/>
            <w:b w:val="false"/>
            <w:i w:val="false"/>
            <w:color w:val="000000"/>
            <w:sz w:val="22"/>
          </w:rPr>
          <w:t>191—20.2</w:t>
        </w:r>
      </w:hyperlink>
      <w:r>
        <w:rPr>
          <w:rFonts w:ascii="Times New Roman" w:hAnsi="Times New Roman"/>
          <w:b w:val="false"/>
          <w:i w:val="false"/>
          <w:color w:val="000000"/>
          <w:sz w:val="22"/>
        </w:rPr>
        <w:t>(505).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508.25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508.28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191—30.6</w:t>
      </w:r>
      <w:r>
        <w:rPr>
          <w:rFonts w:ascii="Times New Roman" w:hAnsi="Times New Roman"/>
          <w:b/>
          <w:i w:val="false"/>
          <w:color w:val="000000"/>
          <w:sz w:val="22"/>
        </w:rPr>
        <w:t xml:space="preserve">(508) </w:t>
      </w:r>
      <w:r>
        <w:rPr>
          <w:rFonts w:ascii="Times New Roman" w:hAnsi="Times New Roman"/>
          <w:b/>
          <w:i w:val="false"/>
          <w:color w:val="000000"/>
          <w:sz w:val="22"/>
        </w:rPr>
        <w:t xml:space="preserve">Back dating of life policies. </w:t>
      </w:r>
      <w:r>
        <w:rPr>
          <w:rFonts w:ascii="Times New Roman" w:hAnsi="Times New Roman"/>
          <w:b w:val="false"/>
          <w:i w:val="false"/>
          <w:color w:val="000000"/>
          <w:sz w:val="22"/>
        </w:rPr>
        <w:t>Upon the specific written request of an applicant for life insurance, an insurer may issue a policy with an effective date not more than six months prior to the date of the policy application. This regulation shall not be construed to prohibit the exercise of any exchange or conversion privileges in any policy or contract.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508.25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508.28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191—30.7</w:t>
      </w:r>
      <w:r>
        <w:rPr>
          <w:rFonts w:ascii="Times New Roman" w:hAnsi="Times New Roman"/>
          <w:b/>
          <w:i w:val="false"/>
          <w:color w:val="000000"/>
          <w:sz w:val="22"/>
        </w:rPr>
        <w:t xml:space="preserve">(508,515) </w:t>
      </w:r>
      <w:r>
        <w:rPr>
          <w:rFonts w:ascii="Times New Roman" w:hAnsi="Times New Roman"/>
          <w:b/>
          <w:i w:val="false"/>
          <w:color w:val="000000"/>
          <w:sz w:val="22"/>
        </w:rPr>
        <w:t>Expiration date of policy vs.</w:t>
      </w:r>
      <w:r>
        <w:rPr>
          <w:rFonts w:ascii="Times New Roman" w:hAnsi="Times New Roman"/>
          <w:b/>
          <w:i w:val="false"/>
          <w:color w:val="000000"/>
          <w:sz w:val="22"/>
        </w:rPr>
        <w:t> </w:t>
      </w:r>
    </w:p>
    <w:p>
      <w:pPr>
        <w:spacing w:before="0" w:after="0"/>
        <w:ind w:left="0"/>
        <w:jc w:val="both"/>
      </w:pPr>
      <w:r>
        <w:rPr>
          <w:rFonts w:ascii="Times New Roman" w:hAnsi="Times New Roman"/>
          <w:b/>
          <w:i w:val="false"/>
          <w:color w:val="000000"/>
          <w:sz w:val="22"/>
        </w:rPr>
        <w:t xml:space="preserve">charter expiration date. </w:t>
      </w:r>
      <w:r>
        <w:rPr>
          <w:rFonts w:ascii="Times New Roman" w:hAnsi="Times New Roman"/>
          <w:b w:val="false"/>
          <w:i w:val="false"/>
          <w:color w:val="000000"/>
          <w:sz w:val="22"/>
        </w:rPr>
        <w:t>The mere fact that a corporate contract may extend beyond the term of the life of the corporation does not destroy it. We believe as a matter of public policy, insurance corporations frequently enter into such contracts. This is graphically illustrated in the case of a life insurance contract issued by a company with a limited corporate period. It has been held that the renewal of articles of incorporation is a continuation of the original corporate period which lends support to the proposition that it is within the public interest that contracts of this nature be permitted.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508.2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515.109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191—30.8</w:t>
      </w:r>
      <w:r>
        <w:rPr>
          <w:rFonts w:ascii="Times New Roman" w:hAnsi="Times New Roman"/>
          <w:b/>
          <w:i w:val="false"/>
          <w:color w:val="000000"/>
          <w:sz w:val="22"/>
        </w:rPr>
        <w:t xml:space="preserve">(505B,509) </w:t>
      </w:r>
      <w:r>
        <w:rPr>
          <w:rFonts w:ascii="Times New Roman" w:hAnsi="Times New Roman"/>
          <w:b/>
          <w:i w:val="false"/>
          <w:color w:val="000000"/>
          <w:sz w:val="22"/>
        </w:rPr>
        <w:t xml:space="preserve">Electronic delivery of group life insurance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authorize the electronic delivery of group life insurance certificates in an efficient manner by insurers and group policyholders, while guaranteeing that individual plan members still receive the important information contained in such group insurance certificates, as required by Iowa Code section </w:t>
      </w:r>
      <w:hyperlink r:id="rId22">
        <w:r>
          <w:rPr>
            <w:rStyle w:val="Hyperlink"/>
            <w:rFonts w:ascii="Times New Roman" w:hAnsi="Times New Roman"/>
            <w:b w:val="false"/>
            <w:i w:val="false"/>
            <w:color w:val="000000"/>
            <w:sz w:val="22"/>
          </w:rPr>
          <w:t>509.2(7)</w:t>
        </w:r>
      </w:hyperlink>
      <w:r>
        <w:rPr>
          <w:rFonts w:ascii="Times New Roman" w:hAnsi="Times New Roman"/>
          <w:b w:val="false"/>
          <w:i w:val="false"/>
          <w:color w:val="000000"/>
          <w:sz w:val="22"/>
        </w:rPr>
        <w:t xml:space="preserve">, and as allowed by the uniform electronic transactions Act, Iowa Code chapter </w:t>
      </w:r>
      <w:hyperlink r:id="rId23">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shall apply to all insurance companies holding a certificate of authority to transact the business of insurance under the provisions of Iowa Code chapters </w:t>
      </w:r>
      <w:hyperlink r:id="rId24">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30.8(3)</w:t>
      </w:r>
      <w:r>
        <w:rPr>
          <w:rFonts w:ascii="Times New Roman" w:hAnsi="Times New Roman"/>
          <w:b w:val="false"/>
          <w:i w:val="false"/>
          <w:color w:val="000000"/>
          <w:sz w:val="22"/>
        </w:rPr>
        <w:t> </w:t>
      </w:r>
      <w:r>
        <w:rPr>
          <w:rFonts w:ascii="Times New Roman" w:hAnsi="Times New Roman"/>
          <w:b w:val="false"/>
          <w:i/>
          <w:color w:val="000000"/>
          <w:sz w:val="22"/>
        </w:rPr>
        <w:t xml:space="preserve">Electronic delivery—insurance companies. </w:t>
      </w:r>
      <w:r>
        <w:rPr>
          <w:rFonts w:ascii="Times New Roman" w:hAnsi="Times New Roman"/>
          <w:b w:val="false"/>
          <w:i w:val="false"/>
          <w:color w:val="000000"/>
          <w:sz w:val="22"/>
        </w:rPr>
        <w:t xml:space="preserve">The insurer will be deemed to comply with the requirements of Iowa Code section </w:t>
      </w:r>
      <w:hyperlink r:id="rId26">
        <w:r>
          <w:rPr>
            <w:rStyle w:val="Hyperlink"/>
            <w:rFonts w:ascii="Times New Roman" w:hAnsi="Times New Roman"/>
            <w:b w:val="false"/>
            <w:i w:val="false"/>
            <w:color w:val="000000"/>
            <w:sz w:val="22"/>
          </w:rPr>
          <w:t>509.2(7)</w:t>
        </w:r>
      </w:hyperlink>
      <w:r>
        <w:rPr>
          <w:rFonts w:ascii="Times New Roman" w:hAnsi="Times New Roman"/>
          <w:b w:val="false"/>
          <w:i w:val="false"/>
          <w:color w:val="000000"/>
          <w:sz w:val="22"/>
        </w:rPr>
        <w:t xml:space="preserve"> if the group insurance certificate is delivered to the group policyholder electronically and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insurer takes appropriate and necessary measures to ensure that the system for furnishing group insurance certificates results in actual receipt of transmitted information by group policyholders, which can be done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return-receipt electronic mail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Periodic reviews or surveys to confirm receipt of the transmitted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method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electronic documents contain the same content and appear in reasonably the same format as the certificates previously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group policyholder is provided notice, through electronic means or in writing, apprising the group policyholder of the fact that the certificate will be furnished electronically, of the significance of the certificate and the group policyholder’s obligations under this rule, and of the group policyholder’s right to request and receive a paper copy of the document for each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of any group policyholder, the insurer furnishes paper copies of the group insurance certificate that was delivered to the group policyholder electronically, so that the group policyholder may provide them to participants that have requested paper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30.8(4)</w:t>
      </w:r>
      <w:r>
        <w:rPr>
          <w:rFonts w:ascii="Times New Roman" w:hAnsi="Times New Roman"/>
          <w:b w:val="false"/>
          <w:i w:val="false"/>
          <w:color w:val="000000"/>
          <w:sz w:val="22"/>
        </w:rPr>
        <w:t> </w:t>
      </w:r>
      <w:r>
        <w:rPr>
          <w:rFonts w:ascii="Times New Roman" w:hAnsi="Times New Roman"/>
          <w:b w:val="false"/>
          <w:i/>
          <w:color w:val="000000"/>
          <w:sz w:val="22"/>
        </w:rPr>
        <w:t xml:space="preserve">Electronic delivery—group policyholders. </w:t>
      </w:r>
      <w:r>
        <w:rPr>
          <w:rFonts w:ascii="Times New Roman" w:hAnsi="Times New Roman"/>
          <w:b w:val="false"/>
          <w:i w:val="false"/>
          <w:color w:val="000000"/>
          <w:sz w:val="22"/>
        </w:rPr>
        <w:t xml:space="preserve">The group policyholder will be deemed to comply with the requirements of Iowa Code section </w:t>
      </w:r>
      <w:hyperlink r:id="rId27">
        <w:r>
          <w:rPr>
            <w:rStyle w:val="Hyperlink"/>
            <w:rFonts w:ascii="Times New Roman" w:hAnsi="Times New Roman"/>
            <w:b w:val="false"/>
            <w:i w:val="false"/>
            <w:color w:val="000000"/>
            <w:sz w:val="22"/>
          </w:rPr>
          <w:t>509.2(7)</w:t>
        </w:r>
      </w:hyperlink>
      <w:r>
        <w:rPr>
          <w:rFonts w:ascii="Times New Roman" w:hAnsi="Times New Roman"/>
          <w:b w:val="false"/>
          <w:i w:val="false"/>
          <w:color w:val="000000"/>
          <w:sz w:val="22"/>
        </w:rPr>
        <w:t xml:space="preserve"> if the group insurance certificate is delivered to the individual plan member electronically and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group policyholder takes appropriate and necessary measures to ensure that the system for furnishing group insurance certificates results in actual receipt of transmitted information by participants, which may be done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return-receipt electronic mail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Periodic reviews or surveys to confirm receipt of the transmitted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method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electronic documents contain the same content and appear in reasonably the same format as the certificates previously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participant is provided notice, through electronic means or in writing, apprising the participant of the fact that the certificate will be furnished electronically, of the significance of the certificate, and of the participant’s right to request and receive, free of charge, a paper copy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of any participant, the group policyholder furnishes, free of charge, a paper copy of the group insurance certificate that was delivered to the participant electronically.</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8">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191—30.9</w:t>
      </w:r>
      <w:r>
        <w:rPr>
          <w:rFonts w:ascii="Times New Roman" w:hAnsi="Times New Roman"/>
          <w:b/>
          <w:i w:val="false"/>
          <w:color w:val="000000"/>
          <w:sz w:val="22"/>
        </w:rPr>
        <w:t xml:space="preserve">(505B,508) </w:t>
      </w:r>
      <w:r>
        <w:rPr>
          <w:rFonts w:ascii="Times New Roman" w:hAnsi="Times New Roman"/>
          <w:b/>
          <w:i w:val="false"/>
          <w:color w:val="000000"/>
          <w:sz w:val="22"/>
        </w:rPr>
        <w:t xml:space="preserve">Notice of cancellation, nonrenewal or termination of life insurance and annuities.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30.9(1)</w:t>
      </w:r>
      <w:r>
        <w:rPr>
          <w:rFonts w:ascii="Times New Roman" w:hAnsi="Times New Roman"/>
          <w:b w:val="false"/>
          <w:i w:val="false"/>
          <w:color w:val="000000"/>
          <w:sz w:val="22"/>
        </w:rPr>
        <w:t> </w:t>
      </w:r>
      <w:r>
        <w:rPr>
          <w:rFonts w:ascii="Times New Roman" w:hAnsi="Times New Roman"/>
          <w:b w:val="false"/>
          <w:i/>
          <w:color w:val="000000"/>
          <w:sz w:val="22"/>
        </w:rPr>
        <w:t xml:space="preserve">Purpose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clarify the authorized methods of delivery for notices of cancellation, nonrenewal or termination by an insurer or insurance producer required for contracts subject to approval by the commissioner pursuant to Iowa Code section </w:t>
      </w:r>
      <w:hyperlink r:id="rId30">
        <w:r>
          <w:rPr>
            <w:rStyle w:val="Hyperlink"/>
            <w:rFonts w:ascii="Times New Roman" w:hAnsi="Times New Roman"/>
            <w:b w:val="false"/>
            <w:i w:val="false"/>
            <w:color w:val="000000"/>
            <w:sz w:val="22"/>
          </w:rPr>
          <w:t>508.25</w:t>
        </w:r>
      </w:hyperlink>
      <w:r>
        <w:rPr>
          <w:rFonts w:ascii="Times New Roman" w:hAnsi="Times New Roman"/>
          <w:b w:val="false"/>
          <w:i w:val="false"/>
          <w:color w:val="000000"/>
          <w:sz w:val="22"/>
        </w:rPr>
        <w:t xml:space="preserve">, so as to require reasonable procedures for providing notice to policyholders of the consequences of cancellation, nonrenewal or termination of life insurance and annuity contracts. The Uniform Electronic Transactions Act, in Iowa Code section </w:t>
      </w:r>
      <w:hyperlink r:id="rId31">
        <w:r>
          <w:rPr>
            <w:rStyle w:val="Hyperlink"/>
            <w:rFonts w:ascii="Times New Roman" w:hAnsi="Times New Roman"/>
            <w:b w:val="false"/>
            <w:i w:val="false"/>
            <w:color w:val="000000"/>
            <w:sz w:val="22"/>
          </w:rPr>
          <w:t>554D.110(4)</w:t>
        </w:r>
        <w:r>
          <w:rPr>
            <w:rFonts w:ascii="Times New Roman" w:hAnsi="Times New Roman"/>
            <w:b w:val="false"/>
            <w:i/>
            <w:color w:val="000000"/>
            <w:sz w:val="22"/>
          </w:rPr>
          <w:t>“b,”</w:t>
        </w:r>
      </w:hyperlink>
      <w:r>
        <w:rPr>
          <w:rFonts w:ascii="Times New Roman" w:hAnsi="Times New Roman"/>
          <w:b w:val="false"/>
          <w:i w:val="false"/>
          <w:color w:val="000000"/>
          <w:sz w:val="22"/>
        </w:rPr>
        <w:t xml:space="preserve"> provides that a requirement under a law to send, communicate, or transmit a record by first-class mail postage prepaid may be varied by agreement to the extent permitted by the other law. Notification regulation should effectively require reasonable advance notice to life insurance and annuity policyholders that insurance coverage will cease or be placed under a nonforfeiture benefit on a date certain.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As used in Iowa Code section </w:t>
      </w:r>
      <w:hyperlink r:id="rId32">
        <w:r>
          <w:rPr>
            <w:rStyle w:val="Hyperlink"/>
            <w:rFonts w:ascii="Times New Roman" w:hAnsi="Times New Roman"/>
            <w:b w:val="false"/>
            <w:i w:val="false"/>
            <w:color w:val="000000"/>
            <w:sz w:val="22"/>
          </w:rPr>
          <w:t>505B.1</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insurance commissioner or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cancellation, nonrenewal or termination”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Notice of an insurance company’s termination of an insurance policy at the end of a term or before the termination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Notice of an insurance company’s decision or intention not to renew a policy;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purposes of notices of cancellation, nonrenewal or termination of contracts subject to approval by the commissioner pursuant to Iowa Code section </w:t>
      </w:r>
      <w:hyperlink r:id="rId33">
        <w:r>
          <w:rPr>
            <w:rStyle w:val="Hyperlink"/>
            <w:rFonts w:ascii="Times New Roman" w:hAnsi="Times New Roman"/>
            <w:b w:val="false"/>
            <w:i w:val="false"/>
            <w:color w:val="000000"/>
            <w:sz w:val="22"/>
          </w:rPr>
          <w:t>508.25</w:t>
        </w:r>
      </w:hyperlink>
      <w:r>
        <w:rPr>
          <w:rFonts w:ascii="Times New Roman" w:hAnsi="Times New Roman"/>
          <w:b w:val="false"/>
          <w:i w:val="false"/>
          <w:color w:val="000000"/>
          <w:sz w:val="22"/>
        </w:rPr>
        <w:t>, “notice of cancellation, nonrenewal or termination” includes but is not limited to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insurance company’s notice of cancellation, nonrenewal or termination of life insurance or annuities;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Notice of replacement of life insurance, for which specific notice is required to be provided by the insurance producer pursuant to rule </w:t>
      </w:r>
      <w:hyperlink r:id="rId34">
        <w:r>
          <w:rPr>
            <w:rStyle w:val="Hyperlink"/>
            <w:rFonts w:ascii="Times New Roman" w:hAnsi="Times New Roman"/>
            <w:b w:val="false"/>
            <w:i w:val="false"/>
            <w:color w:val="000000"/>
            <w:sz w:val="22"/>
          </w:rPr>
          <w:t>191—16.24</w:t>
        </w:r>
      </w:hyperlink>
      <w:r>
        <w:rPr>
          <w:rFonts w:ascii="Times New Roman" w:hAnsi="Times New Roman"/>
          <w:b w:val="false"/>
          <w:i w:val="false"/>
          <w:color w:val="000000"/>
          <w:sz w:val="22"/>
        </w:rPr>
        <w:t xml:space="preserve">(507B);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Notice of termination of universal life contracts, for which specific advance notice is required to be provided by the insurance company pursuant to rule </w:t>
      </w:r>
      <w:hyperlink r:id="rId35">
        <w:r>
          <w:rPr>
            <w:rStyle w:val="Hyperlink"/>
            <w:rFonts w:ascii="Times New Roman" w:hAnsi="Times New Roman"/>
            <w:b w:val="false"/>
            <w:i w:val="false"/>
            <w:color w:val="000000"/>
            <w:sz w:val="22"/>
          </w:rPr>
          <w:t>191—92.6</w:t>
        </w:r>
      </w:hyperlink>
      <w:r>
        <w:rPr>
          <w:rFonts w:ascii="Times New Roman" w:hAnsi="Times New Roman"/>
          <w:b w:val="false"/>
          <w:i w:val="false"/>
          <w:color w:val="000000"/>
          <w:sz w:val="22"/>
        </w:rPr>
        <w:t>(508).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shall apply to all insurance companies that issue contracts subject to approval by the commissioner pursuant to Iowa Code section </w:t>
      </w:r>
      <w:hyperlink r:id="rId36">
        <w:r>
          <w:rPr>
            <w:rStyle w:val="Hyperlink"/>
            <w:rFonts w:ascii="Times New Roman" w:hAnsi="Times New Roman"/>
            <w:b w:val="false"/>
            <w:i w:val="false"/>
            <w:color w:val="000000"/>
            <w:sz w:val="22"/>
          </w:rPr>
          <w:t>508.25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30.9(3)</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 xml:space="preserve">For any notice of cancellation, nonrenewal or termination by an insurer in contracts subject to approval by the commissioner pursuant to Iowa Code section </w:t>
      </w:r>
      <w:hyperlink r:id="rId37">
        <w:r>
          <w:rPr>
            <w:rStyle w:val="Hyperlink"/>
            <w:rFonts w:ascii="Times New Roman" w:hAnsi="Times New Roman"/>
            <w:b w:val="false"/>
            <w:i w:val="false"/>
            <w:color w:val="000000"/>
            <w:sz w:val="22"/>
          </w:rPr>
          <w:t>508.25</w:t>
        </w:r>
      </w:hyperlink>
      <w:r>
        <w:rPr>
          <w:rFonts w:ascii="Times New Roman" w:hAnsi="Times New Roman"/>
          <w:b w:val="false"/>
          <w:i w:val="false"/>
          <w:color w:val="000000"/>
          <w:sz w:val="22"/>
        </w:rPr>
        <w:t xml:space="preserve"> to be effective, an insurer must, within the time frame established by law, or such reasonable time in advance and as governed by contract, deliver the notice to the person to whom notice is required to be provided either in person or by mail through the U.S. Postal Service to the last-known address of the person to whom notice is required to be provided. For replacements of life insurance, specific notice is required to be provided by the insurance producer pursuant to rule </w:t>
      </w:r>
      <w:hyperlink r:id="rId38">
        <w:r>
          <w:rPr>
            <w:rStyle w:val="Hyperlink"/>
            <w:rFonts w:ascii="Times New Roman" w:hAnsi="Times New Roman"/>
            <w:b w:val="false"/>
            <w:i w:val="false"/>
            <w:color w:val="000000"/>
            <w:sz w:val="22"/>
          </w:rPr>
          <w:t>191—16.24</w:t>
        </w:r>
      </w:hyperlink>
      <w:r>
        <w:rPr>
          <w:rFonts w:ascii="Times New Roman" w:hAnsi="Times New Roman"/>
          <w:b w:val="false"/>
          <w:i w:val="false"/>
          <w:color w:val="000000"/>
          <w:sz w:val="22"/>
        </w:rPr>
        <w:t xml:space="preserve">(507B). For universal life contracts, specific advance notice of termination is required to be provided by the insurance company pursuant to rule </w:t>
      </w:r>
      <w:hyperlink r:id="rId39">
        <w:r>
          <w:rPr>
            <w:rStyle w:val="Hyperlink"/>
            <w:rFonts w:ascii="Times New Roman" w:hAnsi="Times New Roman"/>
            <w:b w:val="false"/>
            <w:i w:val="false"/>
            <w:color w:val="000000"/>
            <w:sz w:val="22"/>
          </w:rPr>
          <w:t>191—92.6</w:t>
        </w:r>
      </w:hyperlink>
      <w:r>
        <w:rPr>
          <w:rFonts w:ascii="Times New Roman" w:hAnsi="Times New Roman"/>
          <w:b w:val="false"/>
          <w:i w:val="false"/>
          <w:color w:val="000000"/>
          <w:sz w:val="22"/>
        </w:rPr>
        <w:t xml:space="preserve">(508). The use of U.S. Postal Service Intelligent Mail® fulfills any requirement for the contracts subject to approval by the commissioner pursuant to Iowa Code section </w:t>
      </w:r>
      <w:hyperlink r:id="rId40">
        <w:r>
          <w:rPr>
            <w:rStyle w:val="Hyperlink"/>
            <w:rFonts w:ascii="Times New Roman" w:hAnsi="Times New Roman"/>
            <w:b w:val="false"/>
            <w:i w:val="false"/>
            <w:color w:val="000000"/>
            <w:sz w:val="22"/>
          </w:rPr>
          <w:t>508.25</w:t>
        </w:r>
      </w:hyperlink>
      <w:r>
        <w:rPr>
          <w:rFonts w:ascii="Times New Roman" w:hAnsi="Times New Roman"/>
          <w:b w:val="false"/>
          <w:i w:val="false"/>
          <w:color w:val="000000"/>
          <w:sz w:val="22"/>
        </w:rPr>
        <w:t xml:space="preserve"> and for notices required by rule </w:t>
      </w:r>
      <w:hyperlink r:id="rId41">
        <w:r>
          <w:rPr>
            <w:rStyle w:val="Hyperlink"/>
            <w:rFonts w:ascii="Times New Roman" w:hAnsi="Times New Roman"/>
            <w:b w:val="false"/>
            <w:i w:val="false"/>
            <w:color w:val="000000"/>
            <w:sz w:val="22"/>
          </w:rPr>
          <w:t>191—16.24</w:t>
        </w:r>
      </w:hyperlink>
      <w:r>
        <w:rPr>
          <w:rFonts w:ascii="Times New Roman" w:hAnsi="Times New Roman"/>
          <w:b w:val="false"/>
          <w:i w:val="false"/>
          <w:color w:val="000000"/>
          <w:sz w:val="22"/>
        </w:rPr>
        <w:t xml:space="preserve">(507B) or </w:t>
      </w:r>
      <w:hyperlink r:id="rId42">
        <w:r>
          <w:rPr>
            <w:rStyle w:val="Hyperlink"/>
            <w:rFonts w:ascii="Times New Roman" w:hAnsi="Times New Roman"/>
            <w:b w:val="false"/>
            <w:i w:val="false"/>
            <w:color w:val="000000"/>
            <w:sz w:val="22"/>
          </w:rPr>
          <w:t>191—92.6</w:t>
        </w:r>
      </w:hyperlink>
      <w:r>
        <w:rPr>
          <w:rFonts w:ascii="Times New Roman" w:hAnsi="Times New Roman"/>
          <w:b w:val="false"/>
          <w:i w:val="false"/>
          <w:color w:val="000000"/>
          <w:sz w:val="22"/>
        </w:rPr>
        <w:t>(508) for certified mail or certificate of mailing as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30.9(4)</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transmissions. </w:t>
      </w:r>
      <w:r>
        <w:rPr>
          <w:rFonts w:ascii="Times New Roman" w:hAnsi="Times New Roman"/>
          <w:b w:val="false"/>
          <w:i w:val="false"/>
          <w:color w:val="000000"/>
          <w:sz w:val="22"/>
        </w:rPr>
        <w:t xml:space="preserve">Notwithstanding the requirements of subrule </w:t>
      </w:r>
      <w:hyperlink r:id="rId43">
        <w:r>
          <w:rPr>
            <w:rStyle w:val="Hyperlink"/>
            <w:rFonts w:ascii="Times New Roman" w:hAnsi="Times New Roman"/>
            <w:b w:val="false"/>
            <w:i w:val="false"/>
            <w:color w:val="000000"/>
            <w:sz w:val="22"/>
          </w:rPr>
          <w:t>30.9(3)</w:t>
        </w:r>
      </w:hyperlink>
      <w:r>
        <w:rPr>
          <w:rFonts w:ascii="Times New Roman" w:hAnsi="Times New Roman"/>
          <w:b w:val="false"/>
          <w:i w:val="false"/>
          <w:color w:val="000000"/>
          <w:sz w:val="22"/>
        </w:rPr>
        <w:t xml:space="preserve">, if an insurer receives, pursuant to </w:t>
      </w:r>
      <w:hyperlink r:id="rId44">
        <w:r>
          <w:rPr>
            <w:rStyle w:val="Hyperlink"/>
            <w:rFonts w:ascii="Times New Roman" w:hAnsi="Times New Roman"/>
            <w:b w:val="false"/>
            <w:i w:val="false"/>
            <w:color w:val="000000"/>
            <w:sz w:val="22"/>
          </w:rPr>
          <w:t>191—subrule 4.24(2)</w:t>
        </w:r>
      </w:hyperlink>
      <w:r>
        <w:rPr>
          <w:rFonts w:ascii="Times New Roman" w:hAnsi="Times New Roman"/>
          <w:b w:val="false"/>
          <w:i w:val="false"/>
          <w:color w:val="000000"/>
          <w:sz w:val="22"/>
        </w:rPr>
        <w:t xml:space="preserve">, approval from the commissioner of a manner of electronic delivery of a notice for cancellation, nonrenewal or termination of a policy, the approved manner shall satisfy the requirements of Iowa Code section </w:t>
      </w:r>
      <w:hyperlink r:id="rId45">
        <w:r>
          <w:rPr>
            <w:rStyle w:val="Hyperlink"/>
            <w:rFonts w:ascii="Times New Roman" w:hAnsi="Times New Roman"/>
            <w:b w:val="false"/>
            <w:i w:val="false"/>
            <w:color w:val="000000"/>
            <w:sz w:val="22"/>
          </w:rPr>
          <w:t>505B.1</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508.25</w:t>
        </w:r>
      </w:hyperlink>
      <w:r>
        <w:rPr>
          <w:rFonts w:ascii="Times New Roman" w:hAnsi="Times New Roman"/>
          <w:b w:val="false"/>
          <w:i w:val="false"/>
          <w:color w:val="000000"/>
          <w:sz w:val="22"/>
        </w:rPr>
        <w:t xml:space="preserve">, rule </w:t>
      </w:r>
      <w:hyperlink r:id="rId47">
        <w:r>
          <w:rPr>
            <w:rStyle w:val="Hyperlink"/>
            <w:rFonts w:ascii="Times New Roman" w:hAnsi="Times New Roman"/>
            <w:b w:val="false"/>
            <w:i w:val="false"/>
            <w:color w:val="000000"/>
            <w:sz w:val="22"/>
          </w:rPr>
          <w:t>191—16.24</w:t>
        </w:r>
      </w:hyperlink>
      <w:r>
        <w:rPr>
          <w:rFonts w:ascii="Times New Roman" w:hAnsi="Times New Roman"/>
          <w:b w:val="false"/>
          <w:i w:val="false"/>
          <w:color w:val="000000"/>
          <w:sz w:val="22"/>
        </w:rPr>
        <w:t xml:space="preserve">(507B) or </w:t>
      </w:r>
      <w:hyperlink r:id="rId48">
        <w:r>
          <w:rPr>
            <w:rStyle w:val="Hyperlink"/>
            <w:rFonts w:ascii="Times New Roman" w:hAnsi="Times New Roman"/>
            <w:b w:val="false"/>
            <w:i w:val="false"/>
            <w:color w:val="000000"/>
            <w:sz w:val="22"/>
          </w:rPr>
          <w:t>191—92.6</w:t>
        </w:r>
      </w:hyperlink>
      <w:r>
        <w:rPr>
          <w:rFonts w:ascii="Times New Roman" w:hAnsi="Times New Roman"/>
          <w:b w:val="false"/>
          <w:i w:val="false"/>
          <w:color w:val="000000"/>
          <w:sz w:val="22"/>
        </w:rPr>
        <w:t>(508), or this rule.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9">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1999C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2415C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November 21, 1963]</w:t>
      </w:r>
    </w:p>
    <w:p>
      <w:pPr>
        <w:spacing w:before="0" w:after="0"/>
        <w:ind w:left="120"/>
        <w:jc w:val="center"/>
      </w:pPr>
      <w:r>
        <w:rPr>
          <w:rFonts w:ascii="Times New Roman" w:hAnsi="Times New Roman"/>
          <w:b w:val="false"/>
          <w:i w:val="false"/>
          <w:color w:val="000000"/>
          <w:sz w:val="21"/>
        </w:rPr>
        <w:t>[Filed 7/3/80, Notice 5/14/80—published 7/23/80, effective 8/29/80]</w:t>
      </w:r>
    </w:p>
    <w:p>
      <w:pPr>
        <w:spacing w:before="0" w:after="0"/>
        <w:ind w:left="120"/>
        <w:jc w:val="center"/>
      </w:pPr>
      <w:r>
        <w:rPr>
          <w:rFonts w:ascii="Times New Roman" w:hAnsi="Times New Roman"/>
          <w:b w:val="false"/>
          <w:i w:val="false"/>
          <w:color w:val="000000"/>
          <w:sz w:val="21"/>
        </w:rPr>
        <w:t>[Filed 7/11/86, Notice 6/4/86—published 7/30/86, effective 9/3/86]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7/18/03, Notice 6/11/03—published 8/6/03, effective 9/10/03]</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3/9/07, Notice 1/31/07—published 3/28/07, effective 5/2/07]</w:t>
      </w:r>
    </w:p>
    <w:p>
      <w:pPr>
        <w:spacing w:before="0" w:after="0"/>
        <w:ind w:left="120"/>
        <w:jc w:val="center"/>
      </w:pPr>
      <w:r>
        <w:rPr>
          <w:rFonts w:ascii="Times New Roman" w:hAnsi="Times New Roman"/>
          <w:b w:val="false"/>
          <w:i w:val="false"/>
          <w:color w:val="000000"/>
          <w:sz w:val="21"/>
        </w:rPr>
        <w:t>[Filed ARC 1999C</w:t>
      </w:r>
      <w:r>
        <w:rPr>
          <w:rFonts w:ascii="Times New Roman" w:hAnsi="Times New Roman"/>
          <w:b w:val="false"/>
          <w:i w:val="false"/>
          <w:color w:val="000000"/>
          <w:sz w:val="21"/>
        </w:rPr>
        <w:t xml:space="preserve"> (Notice ARC 1943C,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2415C</w:t>
      </w:r>
      <w:r>
        <w:rPr>
          <w:rFonts w:ascii="Times New Roman" w:hAnsi="Times New Roman"/>
          <w:b w:val="false"/>
          <w:i w:val="false"/>
          <w:color w:val="000000"/>
          <w:sz w:val="21"/>
        </w:rPr>
        <w:t xml:space="preserve"> (Notice ARC 2078C, IAB 8/5/15)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6119C</w:t>
      </w:r>
      <w:r>
        <w:rPr>
          <w:rFonts w:ascii="Times New Roman" w:hAnsi="Times New Roman"/>
          <w:b w:val="false"/>
          <w:i w:val="false"/>
          <w:color w:val="000000"/>
          <w:sz w:val="21"/>
        </w:rPr>
        <w:t xml:space="preserve"> (Notice ARC 6015C, IAB 11/3/21)</w:t>
      </w:r>
      <w:r>
        <w:rPr>
          <w:rFonts w:ascii="Times New Roman" w:hAnsi="Times New Roman"/>
          <w:b w:val="false"/>
          <w:i w:val="false"/>
          <w:color w:val="000000"/>
          <w:sz w:val="21"/>
        </w:rPr>
        <w:t>, IAB 12/29/21, effective 2/2/22]</w:t>
      </w:r>
    </w:p>
    <w:p>
      <w:pPr>
        <w:pBdr>
          <w:bottom w:space="2"/>
        </w:pBdr>
        <w:spacing w:before="0" w:after="0"/>
        <w:ind w:left="120"/>
        <w:jc w:val="both"/>
      </w:pPr>
      <w:r>
        <w:rPr>
          <w:rFonts w:ascii="Times New Roman" w:hAnsi="Times New Roman"/>
          <w:b w:val="false"/>
          <w:i w:val="false"/>
          <w:color w:val="000000"/>
          <w:sz w:val="22"/>
        </w:rPr>
        <w:t>See IAB Insurance Division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508.pdf" Type="http://schemas.openxmlformats.org/officeDocument/2006/relationships/hyperlink" Id="rId6"/>
    <Relationship TargetMode="External" Target="https://www.legis.iowa.gov/docs/ico/chapter/508.pdf" Type="http://schemas.openxmlformats.org/officeDocument/2006/relationships/hyperlink" Id="rId7"/>
    <Relationship TargetMode="External" Target="https://www.legis.iowa.gov/docs/ico/chapter/505.8.pdf" Type="http://schemas.openxmlformats.org/officeDocument/2006/relationships/hyperlink" Id="rId8"/>
    <Relationship TargetMode="External" Target="https://www.legis.iowa.gov/docs/ico/chapter/508.pdf" Type="http://schemas.openxmlformats.org/officeDocument/2006/relationships/hyperlink" Id="rId9"/>
    <Relationship TargetMode="External" Target="https://www.legis.iowa.gov/docs/iac/rule/191.30.1.pdf" Type="http://schemas.openxmlformats.org/officeDocument/2006/relationships/hyperlink" Id="rId10"/>
    <Relationship TargetMode="External" Target="https://www.legis.iowa.gov/docs/ico/chapter/508.28.pdf" Type="http://schemas.openxmlformats.org/officeDocument/2006/relationships/hyperlink" Id="rId11"/>
    <Relationship TargetMode="External" Target="https://www.legis.iowa.gov/docs/ico/chapter/508.25.pdf" Type="http://schemas.openxmlformats.org/officeDocument/2006/relationships/hyperlink" Id="rId12"/>
    <Relationship TargetMode="External" Target="https://www.legis.iowa.gov/docs/ico/chapter/508.28.pdf" Type="http://schemas.openxmlformats.org/officeDocument/2006/relationships/hyperlink" Id="rId13"/>
    <Relationship TargetMode="External" Target="https://www.legis.iowa.gov/docs/iac/rule/191.20.1.pdf" Type="http://schemas.openxmlformats.org/officeDocument/2006/relationships/hyperlink" Id="rId14"/>
    <Relationship TargetMode="External" Target="https://www.legis.iowa.gov/docs/iac/rule/191.20.2.pdf" Type="http://schemas.openxmlformats.org/officeDocument/2006/relationships/hyperlink" Id="rId15"/>
    <Relationship TargetMode="External" Target="https://www.legis.iowa.gov/docs/ico/chapter/508.25.pdf" Type="http://schemas.openxmlformats.org/officeDocument/2006/relationships/hyperlink" Id="rId16"/>
    <Relationship TargetMode="External" Target="https://www.legis.iowa.gov/docs/ico/chapter/508.28.pdf" Type="http://schemas.openxmlformats.org/officeDocument/2006/relationships/hyperlink" Id="rId17"/>
    <Relationship TargetMode="External" Target="https://www.legis.iowa.gov/docs/ico/chapter/508.25.pdf" Type="http://schemas.openxmlformats.org/officeDocument/2006/relationships/hyperlink" Id="rId18"/>
    <Relationship TargetMode="External" Target="https://www.legis.iowa.gov/docs/ico/chapter/508.28.pdf" Type="http://schemas.openxmlformats.org/officeDocument/2006/relationships/hyperlink" Id="rId19"/>
    <Relationship TargetMode="External" Target="https://www.legis.iowa.gov/docs/ico/chapter/508.2.pdf" Type="http://schemas.openxmlformats.org/officeDocument/2006/relationships/hyperlink" Id="rId20"/>
    <Relationship TargetMode="External" Target="https://www.legis.iowa.gov/docs/ico/chapter/515.109.pdf" Type="http://schemas.openxmlformats.org/officeDocument/2006/relationships/hyperlink" Id="rId21"/>
    <Relationship TargetMode="External" Target="https://www.legis.iowa.gov/docs/ico/chapter/509.2.pdf" Type="http://schemas.openxmlformats.org/officeDocument/2006/relationships/hyperlink" Id="rId22"/>
    <Relationship TargetMode="External" Target="https://www.legis.iowa.gov/docs/ico/chapter/554D.pdf" Type="http://schemas.openxmlformats.org/officeDocument/2006/relationships/hyperlink" Id="rId23"/>
    <Relationship TargetMode="External" Target="https://www.legis.iowa.gov/docs/ico/chapter/508.pdf" Type="http://schemas.openxmlformats.org/officeDocument/2006/relationships/hyperlink" Id="rId24"/>
    <Relationship TargetMode="External" Target="https://www.legis.iowa.gov/docs/ico/chapter/515.pdf" Type="http://schemas.openxmlformats.org/officeDocument/2006/relationships/hyperlink" Id="rId25"/>
    <Relationship TargetMode="External" Target="https://www.legis.iowa.gov/docs/ico/chapter/509.2.pdf" Type="http://schemas.openxmlformats.org/officeDocument/2006/relationships/hyperlink" Id="rId26"/>
    <Relationship TargetMode="External" Target="https://www.legis.iowa.gov/docs/ico/chapter/509.2.pdf" Type="http://schemas.openxmlformats.org/officeDocument/2006/relationships/hyperlink" Id="rId27"/>
    <Relationship TargetMode="External" Target="https://www.legis.iowa.gov/docs/ico/chapter/505B.pdf" Type="http://schemas.openxmlformats.org/officeDocument/2006/relationships/hyperlink" Id="rId28"/>
    <Relationship TargetMode="External" Target="https://www.legis.iowa.gov/docs/ico/chapter/509.pdf" Type="http://schemas.openxmlformats.org/officeDocument/2006/relationships/hyperlink" Id="rId29"/>
    <Relationship TargetMode="External" Target="https://www.legis.iowa.gov/docs/ico/chapter/508.25.pdf" Type="http://schemas.openxmlformats.org/officeDocument/2006/relationships/hyperlink" Id="rId30"/>
    <Relationship TargetMode="External" Target="https://www.legis.iowa.gov/docs/ico/chapter/554D.110.pdf" Type="http://schemas.openxmlformats.org/officeDocument/2006/relationships/hyperlink" Id="rId31"/>
    <Relationship TargetMode="External" Target="https://www.legis.iowa.gov/docs/ico/chapter/505B.1.pdf" Type="http://schemas.openxmlformats.org/officeDocument/2006/relationships/hyperlink" Id="rId32"/>
    <Relationship TargetMode="External" Target="https://www.legis.iowa.gov/docs/ico/chapter/508.25.pdf" Type="http://schemas.openxmlformats.org/officeDocument/2006/relationships/hyperlink" Id="rId33"/>
    <Relationship TargetMode="External" Target="https://www.legis.iowa.gov/docs/iac/rule/191.16.24.pdf" Type="http://schemas.openxmlformats.org/officeDocument/2006/relationships/hyperlink" Id="rId34"/>
    <Relationship TargetMode="External" Target="https://www.legis.iowa.gov/docs/iac/rule/191.92.6.pdf" Type="http://schemas.openxmlformats.org/officeDocument/2006/relationships/hyperlink" Id="rId35"/>
    <Relationship TargetMode="External" Target="https://www.legis.iowa.gov/docs/ico/chapter/508.25.pdf" Type="http://schemas.openxmlformats.org/officeDocument/2006/relationships/hyperlink" Id="rId36"/>
    <Relationship TargetMode="External" Target="https://www.legis.iowa.gov/docs/ico/chapter/508.25.pdf" Type="http://schemas.openxmlformats.org/officeDocument/2006/relationships/hyperlink" Id="rId37"/>
    <Relationship TargetMode="External" Target="https://www.legis.iowa.gov/docs/iac/rule/191.16.24.pdf" Type="http://schemas.openxmlformats.org/officeDocument/2006/relationships/hyperlink" Id="rId38"/>
    <Relationship TargetMode="External" Target="https://www.legis.iowa.gov/docs/iac/rule/191.92.6.pdf" Type="http://schemas.openxmlformats.org/officeDocument/2006/relationships/hyperlink" Id="rId39"/>
    <Relationship TargetMode="External" Target="https://www.legis.iowa.gov/docs/ico/chapter/508.25.pdf" Type="http://schemas.openxmlformats.org/officeDocument/2006/relationships/hyperlink" Id="rId40"/>
    <Relationship TargetMode="External" Target="https://www.legis.iowa.gov/docs/iac/rule/191.16.24.pdf" Type="http://schemas.openxmlformats.org/officeDocument/2006/relationships/hyperlink" Id="rId41"/>
    <Relationship TargetMode="External" Target="https://www.legis.iowa.gov/docs/iac/rule/191.92.6.pdf" Type="http://schemas.openxmlformats.org/officeDocument/2006/relationships/hyperlink" Id="rId42"/>
    <Relationship TargetMode="External" Target="https://www.legis.iowa.gov/docs/iac/rule/191.30.9.pdf" Type="http://schemas.openxmlformats.org/officeDocument/2006/relationships/hyperlink" Id="rId43"/>
    <Relationship TargetMode="External" Target="https://www.legis.iowa.gov/docs/iac/rule/191.4.24.pdf" Type="http://schemas.openxmlformats.org/officeDocument/2006/relationships/hyperlink" Id="rId44"/>
    <Relationship TargetMode="External" Target="https://www.legis.iowa.gov/docs/ico/chapter/505B.1.pdf" Type="http://schemas.openxmlformats.org/officeDocument/2006/relationships/hyperlink" Id="rId45"/>
    <Relationship TargetMode="External" Target="https://www.legis.iowa.gov/docs/ico/chapter/508.25.pdf" Type="http://schemas.openxmlformats.org/officeDocument/2006/relationships/hyperlink" Id="rId46"/>
    <Relationship TargetMode="External" Target="https://www.legis.iowa.gov/docs/iac/rule/191.16.24.pdf" Type="http://schemas.openxmlformats.org/officeDocument/2006/relationships/hyperlink" Id="rId47"/>
    <Relationship TargetMode="External" Target="https://www.legis.iowa.gov/docs/iac/rule/191.92.6.pdf" Type="http://schemas.openxmlformats.org/officeDocument/2006/relationships/hyperlink" Id="rId48"/>
    <Relationship TargetMode="External" Target="https://www.legis.iowa.gov/docs/ico/chapter/505B.pdf" Type="http://schemas.openxmlformats.org/officeDocument/2006/relationships/hyperlink" Id="rId49"/>
    <Relationship TargetMode="External" Target="https://www.legis.iowa.gov/docs/ico/chapter/508.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