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CONTINUATION RIGHTS UNDER GROUP ACCIDENT</w:t>
      </w:r>
      <w:r>
        <w:br/>
      </w:r>
      <w:r>
        <w:rPr>
          <w:rFonts w:ascii="Times New Roman" w:hAnsi="Times New Roman"/>
          <w:b w:val="false"/>
          <w:i w:val="false"/>
          <w:color w:val="000000"/>
          <w:sz w:val="21"/>
        </w:rPr>
        <w:t>AND HEALTH INSURANCE POLICIES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191—29.1</w:t>
      </w:r>
      <w:r>
        <w:rPr>
          <w:rFonts w:ascii="Times New Roman" w:hAnsi="Times New Roman"/>
          <w:b/>
          <w:i w:val="false"/>
          <w:color w:val="000000"/>
          <w:sz w:val="22"/>
        </w:rPr>
        <w:t xml:space="preserve">(509B)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“COBRA”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the federal Consolidated Omnibus Budget Reconciliation Act</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§1161</w:t>
      </w:r>
      <w:r>
        <w:rPr>
          <w:rFonts w:ascii="Times New Roman" w:hAnsi="Times New Roman"/>
          <w:b w:val="false"/>
          <w:i w:val="false"/>
          <w:color w:val="000000"/>
          <w:sz w:val="22"/>
        </w:rPr>
        <w:t>, that may allow an employee or member to temporarily keep health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“Continuation right” </w:t>
      </w:r>
      <w:r>
        <w:rPr>
          <w:rFonts w:ascii="Times New Roman" w:hAnsi="Times New Roman"/>
          <w:b w:val="false"/>
          <w:i w:val="false"/>
          <w:color w:val="000000"/>
          <w:sz w:val="22"/>
        </w:rPr>
        <w:t xml:space="preserve">refers to the right under Iowa Code chapter </w:t>
      </w:r>
      <w:hyperlink r:id="rId5">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of an employee or member or the employee’s or member’s spouse and dependent children whose coverage under a group accident and health insurance policy would terminate because of termination of employment or membership or dissolution or annulment of marriage or death of the employee or member to continue their accident and sickness insurance under the policy for the period, and under the terms specified, in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that person which provides group accident or health insurance to its employees, or former employees, or the dependents of such persons, regardless of whether the employer directly contracts with an insurance company for a policy or obtains insurance by virtue of its membership in an organization which is deemed to be a “group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policyholder” </w:t>
      </w:r>
      <w:r>
        <w:rPr>
          <w:rFonts w:ascii="Times New Roman" w:hAnsi="Times New Roman"/>
          <w:b w:val="false"/>
          <w:i w:val="false"/>
          <w:color w:val="000000"/>
          <w:sz w:val="22"/>
        </w:rPr>
        <w:t>means a person which both contracts with an insurance company for accident or health insurance policies and provides group accident or health insurance to individuals by virtue of their membership in an organization. An organization shall not be deemed to be a “group policyholder” to the extent that its members are “employers” and those “employers” in turn provide benefits to their employees and their dependents under the “employer’s” benefit plan. Hence, if an individual has group accident or health insurance by virtue of employment, all obligations fall on the “employer” even if that insurance is provided by virtue of the “employer’s” membership in an organization which is deemed to be a “group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means the group accident and health insurance policy maintained by an employer or group policyholder for the employer’s employees or group policyholder’s members to implement the employer’s or group policyholder’s benefit plan for its employees 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191—29.2</w:t>
      </w:r>
      <w:r>
        <w:rPr>
          <w:rFonts w:ascii="Times New Roman" w:hAnsi="Times New Roman"/>
          <w:b/>
          <w:i w:val="false"/>
          <w:color w:val="000000"/>
          <w:sz w:val="22"/>
        </w:rPr>
        <w:t xml:space="preserve">(509B) </w:t>
      </w:r>
      <w:r>
        <w:rPr>
          <w:rFonts w:ascii="Times New Roman" w:hAnsi="Times New Roman"/>
          <w:b/>
          <w:i w:val="false"/>
          <w:color w:val="000000"/>
          <w:sz w:val="22"/>
        </w:rPr>
        <w:t xml:space="preserve">Notice regarding continuation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or group policyholder must provide written notice of the continuation right arising by virtue of termination of employment or membership, other than the notice required by Iowa Code section </w:t>
      </w:r>
      <w:hyperlink r:id="rId6">
        <w:r>
          <w:rPr>
            <w:rStyle w:val="Hyperlink"/>
            <w:rFonts w:ascii="Times New Roman" w:hAnsi="Times New Roman"/>
            <w:b w:val="false"/>
            <w:i w:val="false"/>
            <w:color w:val="000000"/>
            <w:sz w:val="22"/>
          </w:rPr>
          <w:t>509B.3(7)</w:t>
        </w:r>
      </w:hyperlink>
      <w:r>
        <w:rPr>
          <w:rFonts w:ascii="Times New Roman" w:hAnsi="Times New Roman"/>
          <w:b w:val="false"/>
          <w:i w:val="false"/>
          <w:color w:val="000000"/>
          <w:sz w:val="22"/>
        </w:rPr>
        <w:t>, no later than ten days after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or member shall make an election regarding continuation of coverage in writing within ten days of the later of the date the insurance coverage would cease by virtue of termination of employment or membership or the date the notice set forth in subrule </w:t>
      </w:r>
      <w:hyperlink r:id="rId7">
        <w:r>
          <w:rPr>
            <w:rStyle w:val="Hyperlink"/>
            <w:rFonts w:ascii="Times New Roman" w:hAnsi="Times New Roman"/>
            <w:b w:val="false"/>
            <w:i w:val="false"/>
            <w:color w:val="000000"/>
            <w:sz w:val="22"/>
          </w:rPr>
          <w:t>29.2(1)</w:t>
        </w:r>
      </w:hyperlink>
      <w:r>
        <w:rPr>
          <w:rFonts w:ascii="Times New Roman" w:hAnsi="Times New Roman"/>
          <w:b w:val="false"/>
          <w:i w:val="false"/>
          <w:color w:val="000000"/>
          <w:sz w:val="22"/>
        </w:rPr>
        <w:t xml:space="preserve"> is given and pay the premiums for the continuation coverage within 31 days of the date the group insurance would otherwise terminate. Payment by the employee or member shall be made in advance of coverage commencing.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or group policyholder need only give written notice of termination of continuation coverage by reason of nonpayment of premium by the employee or member once, in advance, to the employee or member in some general form such as the certificate of coverage referred to in section </w:t>
      </w:r>
      <w:hyperlink r:id="rId8">
        <w:r>
          <w:rPr>
            <w:rStyle w:val="Hyperlink"/>
            <w:rFonts w:ascii="Times New Roman" w:hAnsi="Times New Roman"/>
            <w:b w:val="false"/>
            <w:i w:val="false"/>
            <w:color w:val="000000"/>
            <w:sz w:val="22"/>
          </w:rPr>
          <w:t>509B.3(7)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val="false"/>
          <w:color w:val="000000"/>
          <w:sz w:val="22"/>
        </w:rPr>
        <w:t>In the event of a right to continuation coverage arising because of dissolution or annulment of marriage or death of the employee or member, the person eligible for continuation, who shall be the spouse or the custodial parent or legal guardian on behalf of a dependent child, must notify the employer or group policyholder of the occurrence of the event within 30 days after the dissolution or annulment of marriage or death of the employee or member. Within ten days of receipt of that notice, the employer or group policyholder shall give the person notice of the continuation right, and that person shall have ten days from the date the latter notice is received to elect continuation coverage in writing from the employer or group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val="false"/>
          <w:color w:val="000000"/>
          <w:sz w:val="22"/>
        </w:rPr>
        <w:t>An election to continue coverage received by an employer or group policyholder from an employee or member or other eligible person shall be promptly transmitted to the issuer of the policy. The issuer shall then cause coverage to be effective within ten days of receipt by the employer or group policyholder of the election, subject to receipt of the premium from the employee or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9">
        <w:r>
          <w:rPr>
            <w:rStyle w:val="Hyperlink"/>
            <w:rFonts w:ascii="Times New Roman" w:hAnsi="Times New Roman"/>
            <w:b w:val="false"/>
            <w:i w:val="false"/>
            <w:color w:val="000000"/>
            <w:sz w:val="22"/>
          </w:rPr>
          <w:t>29.2(5)</w:t>
        </w:r>
      </w:hyperlink>
      <w:r>
        <w:rPr>
          <w:rFonts w:ascii="Times New Roman" w:hAnsi="Times New Roman"/>
          <w:b w:val="false"/>
          <w:i w:val="false"/>
          <w:color w:val="000000"/>
          <w:sz w:val="22"/>
        </w:rPr>
        <w:t>, continuation coverage shall run from the date of the qualifying event. An adequate premium to cover this period may be charged by an insurer.</w:t>
      </w:r>
    </w:p>
    <w:p>
      <w:pPr>
        <w:spacing w:before="0" w:after="0"/>
        <w:ind w:left="120"/>
        <w:jc w:val="both"/>
      </w:pPr>
      <w:r>
        <w:rPr>
          <w:rFonts w:ascii="Times New Roman" w:hAnsi="Times New Roman"/>
          <w:b/>
          <w:i w:val="false"/>
          <w:color w:val="000000"/>
          <w:sz w:val="22"/>
        </w:rPr>
        <w:t>191—29.3</w:t>
      </w:r>
      <w:r>
        <w:rPr>
          <w:rFonts w:ascii="Times New Roman" w:hAnsi="Times New Roman"/>
          <w:b/>
          <w:i w:val="false"/>
          <w:color w:val="000000"/>
          <w:sz w:val="22"/>
        </w:rPr>
        <w:t xml:space="preserve">(509B) </w:t>
      </w:r>
      <w:r>
        <w:rPr>
          <w:rFonts w:ascii="Times New Roman" w:hAnsi="Times New Roman"/>
          <w:b/>
          <w:i w:val="false"/>
          <w:color w:val="000000"/>
          <w:sz w:val="22"/>
        </w:rPr>
        <w:t xml:space="preserve">Qualifying events for continuation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A dependent child ceasing to be a dependent of its parent or legal guardian is not an event qualifying for a continuation right.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 xml:space="preserve">Loss of continuation rights under COBRA, chapter </w:t>
      </w:r>
      <w:hyperlink r:id="rId10">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or any other state group health insurance continuation law, is not an event qualifying for a continuation right.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qualifying events shall not be recognized under chapter </w:t>
      </w:r>
      <w:hyperlink r:id="rId11">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val="false"/>
          <w:color w:val="000000"/>
          <w:sz w:val="22"/>
        </w:rPr>
        <w:t>Voluntary termination of membership in an association shall not be a qualifying event.</w:t>
      </w:r>
    </w:p>
    <w:p>
      <w:pPr>
        <w:spacing w:before="0" w:after="0"/>
        <w:ind w:left="120"/>
        <w:jc w:val="both"/>
      </w:pPr>
      <w:r>
        <w:rPr>
          <w:rFonts w:ascii="Times New Roman" w:hAnsi="Times New Roman"/>
          <w:b/>
          <w:i w:val="false"/>
          <w:color w:val="000000"/>
          <w:sz w:val="22"/>
        </w:rPr>
        <w:t>191—29.4</w:t>
      </w:r>
      <w:r>
        <w:rPr>
          <w:rFonts w:ascii="Times New Roman" w:hAnsi="Times New Roman"/>
          <w:b/>
          <w:i w:val="false"/>
          <w:color w:val="000000"/>
          <w:sz w:val="22"/>
        </w:rPr>
        <w:t xml:space="preserve">(509B) </w:t>
      </w:r>
      <w:r>
        <w:rPr>
          <w:rFonts w:ascii="Times New Roman" w:hAnsi="Times New Roman"/>
          <w:b/>
          <w:i w:val="false"/>
          <w:color w:val="000000"/>
          <w:sz w:val="22"/>
        </w:rPr>
        <w:t xml:space="preserve">Interplay between chapter 509B and COBRA.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employee is eligible for a continuation right under Iowa Code chapter </w:t>
      </w:r>
      <w:hyperlink r:id="rId12">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and is also eligible for continuation of benefits from the employer under COBRA, an employer shall be deemed to comply with the requirements of chapter </w:t>
      </w:r>
      <w:hyperlink r:id="rId13">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if the employer offers to qualified beneficiaries the continuation right under COBRA. An election in favor of COBRA continuation shall satisfy the requirements of chapter </w:t>
      </w:r>
      <w:hyperlink r:id="rId14">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and as an alternative to the procedure set forth in subrule </w:t>
      </w:r>
      <w:hyperlink r:id="rId15">
        <w:r>
          <w:rPr>
            <w:rStyle w:val="Hyperlink"/>
            <w:rFonts w:ascii="Times New Roman" w:hAnsi="Times New Roman"/>
            <w:b w:val="false"/>
            <w:i w:val="false"/>
            <w:color w:val="000000"/>
            <w:sz w:val="22"/>
          </w:rPr>
          <w:t>29.4(1)</w:t>
        </w:r>
      </w:hyperlink>
      <w:r>
        <w:rPr>
          <w:rFonts w:ascii="Times New Roman" w:hAnsi="Times New Roman"/>
          <w:b w:val="false"/>
          <w:i w:val="false"/>
          <w:color w:val="000000"/>
          <w:sz w:val="22"/>
        </w:rPr>
        <w:t xml:space="preserve">, the employer may give the employee continuation benefits, and charge the employee for continuation costs, on terms most favorable to the employee, as between chapter </w:t>
      </w:r>
      <w:hyperlink r:id="rId16">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and COBRA. For example, an employee could offer continuation for the period provided in COBRA — 18 months, as opposed to the 9 months under chapter </w:t>
      </w:r>
      <w:hyperlink r:id="rId17">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 but only at the cost to the employee allowable under chapter </w:t>
      </w:r>
      <w:hyperlink r:id="rId18">
        <w:r>
          <w:rPr>
            <w:rStyle w:val="Hyperlink"/>
            <w:rFonts w:ascii="Times New Roman" w:hAnsi="Times New Roman"/>
            <w:b w:val="false"/>
            <w:i w:val="false"/>
            <w:color w:val="000000"/>
            <w:sz w:val="22"/>
          </w:rPr>
          <w:t>509B</w:t>
        </w:r>
      </w:hyperlink>
      <w:r>
        <w:rPr>
          <w:rFonts w:ascii="Times New Roman" w:hAnsi="Times New Roman"/>
          <w:b w:val="false"/>
          <w:i w:val="false"/>
          <w:color w:val="000000"/>
          <w:sz w:val="22"/>
        </w:rPr>
        <w:t xml:space="preserve"> — 100 percent of the per-employee cost, as opposed to the 102 percent per-employee cost allowable under COBRA.</w:t>
      </w:r>
    </w:p>
    <w:p>
      <w:pPr>
        <w:spacing w:before="0" w:after="0"/>
        <w:ind w:left="120"/>
        <w:jc w:val="both"/>
      </w:pPr>
      <w:r>
        <w:rPr>
          <w:rFonts w:ascii="Times New Roman" w:hAnsi="Times New Roman"/>
          <w:b/>
          <w:i w:val="false"/>
          <w:color w:val="000000"/>
          <w:sz w:val="22"/>
        </w:rPr>
        <w:t>191—29.5</w:t>
      </w:r>
      <w:r>
        <w:rPr>
          <w:rFonts w:ascii="Times New Roman" w:hAnsi="Times New Roman"/>
          <w:b/>
          <w:i w:val="false"/>
          <w:color w:val="000000"/>
          <w:sz w:val="22"/>
        </w:rPr>
        <w:t xml:space="preserve">(509B) </w:t>
      </w:r>
      <w:r>
        <w:rPr>
          <w:rFonts w:ascii="Times New Roman" w:hAnsi="Times New Roman"/>
          <w:b/>
          <w:i w:val="false"/>
          <w:color w:val="000000"/>
          <w:sz w:val="22"/>
        </w:rPr>
        <w:t xml:space="preserve">Effective date for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An insurer renewing an existing policy on or after July 1, 1987, shall provide a continuation right in its policy no later than the renewal date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Policies issued or delivered on or after July 1, 1987, shall contain the continuation right as of the date of issuance or delivery.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509B.3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509B.5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emergency 9/18/87—published 10/7/87, effective 9/18/87]</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B.pdf" Type="http://schemas.openxmlformats.org/officeDocument/2006/relationships/hyperlink" Id="rId5"/>
    <Relationship TargetMode="External" Target="https://www.legis.iowa.gov/docs/ico/chapter/509B.3.pdf" Type="http://schemas.openxmlformats.org/officeDocument/2006/relationships/hyperlink" Id="rId6"/>
    <Relationship TargetMode="External" Target="https://www.legis.iowa.gov/docs/iac/rule/191.29.2.pdf" Type="http://schemas.openxmlformats.org/officeDocument/2006/relationships/hyperlink" Id="rId7"/>
    <Relationship TargetMode="External" Target="https://www.legis.iowa.gov/docs/ico/chapter/509B.3.pdf" Type="http://schemas.openxmlformats.org/officeDocument/2006/relationships/hyperlink" Id="rId8"/>
    <Relationship TargetMode="External" Target="https://www.legis.iowa.gov/docs/iac/rule/191.29.2.pdf" Type="http://schemas.openxmlformats.org/officeDocument/2006/relationships/hyperlink" Id="rId9"/>
    <Relationship TargetMode="External" Target="https://www.legis.iowa.gov/docs/ico/chapter/509B.pdf" Type="http://schemas.openxmlformats.org/officeDocument/2006/relationships/hyperlink" Id="rId10"/>
    <Relationship TargetMode="External" Target="https://www.legis.iowa.gov/docs/ico/chapter/509B.pdf" Type="http://schemas.openxmlformats.org/officeDocument/2006/relationships/hyperlink" Id="rId11"/>
    <Relationship TargetMode="External" Target="https://www.legis.iowa.gov/docs/ico/chapter/509B.pdf" Type="http://schemas.openxmlformats.org/officeDocument/2006/relationships/hyperlink" Id="rId12"/>
    <Relationship TargetMode="External" Target="https://www.legis.iowa.gov/docs/ico/chapter/509B.pdf" Type="http://schemas.openxmlformats.org/officeDocument/2006/relationships/hyperlink" Id="rId13"/>
    <Relationship TargetMode="External" Target="https://www.legis.iowa.gov/docs/ico/chapter/509B.pdf" Type="http://schemas.openxmlformats.org/officeDocument/2006/relationships/hyperlink" Id="rId14"/>
    <Relationship TargetMode="External" Target="https://www.legis.iowa.gov/docs/iac/rule/191.29.4.pdf" Type="http://schemas.openxmlformats.org/officeDocument/2006/relationships/hyperlink" Id="rId15"/>
    <Relationship TargetMode="External" Target="https://www.legis.iowa.gov/docs/ico/chapter/509B.pdf" Type="http://schemas.openxmlformats.org/officeDocument/2006/relationships/hyperlink" Id="rId16"/>
    <Relationship TargetMode="External" Target="https://www.legis.iowa.gov/docs/ico/chapter/509B.pdf" Type="http://schemas.openxmlformats.org/officeDocument/2006/relationships/hyperlink" Id="rId17"/>
    <Relationship TargetMode="External" Target="https://www.legis.iowa.gov/docs/ico/chapter/509B.pdf" Type="http://schemas.openxmlformats.org/officeDocument/2006/relationships/hyperlink" Id="rId18"/>
    <Relationship TargetMode="External" Target="https://www.legis.iowa.gov/docs/ico/chapter/509B.3.pdf" Type="http://schemas.openxmlformats.org/officeDocument/2006/relationships/hyperlink" Id="rId19"/>
    <Relationship TargetMode="External" Target="https://www.legis.iowa.gov/docs/ico/chapter/509B.5.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