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 xml:space="preserve">REQUIREMENTS FOR SURPLUS LINES, </w:t>
      </w:r>
      <w:r>
        <w:br/>
      </w:r>
      <w:r>
        <w:rPr>
          <w:rFonts w:ascii="Times New Roman" w:hAnsi="Times New Roman"/>
          <w:b w:val="false"/>
          <w:i w:val="false"/>
          <w:color w:val="000000"/>
          <w:sz w:val="21"/>
        </w:rPr>
        <w:t>RISK RETENTION GROUPS AND PURCHASING GROUPS</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191—21.1</w:t>
      </w:r>
      <w:r>
        <w:rPr>
          <w:rFonts w:ascii="Times New Roman" w:hAnsi="Times New Roman"/>
          <w:b/>
          <w:i w:val="false"/>
          <w:color w:val="000000"/>
          <w:sz w:val="22"/>
        </w:rPr>
        <w:t xml:space="preserve">(515E,515I)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provided in Iowa Code chapters </w:t>
      </w:r>
      <w:hyperlink r:id="rId5">
        <w:r>
          <w:rPr>
            <w:rStyle w:val="Hyperlink"/>
            <w:rFonts w:ascii="Times New Roman" w:hAnsi="Times New Roman"/>
            <w:b w:val="false"/>
            <w:i w:val="false"/>
            <w:color w:val="000000"/>
            <w:sz w:val="22"/>
          </w:rPr>
          <w:t>515E</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the following definitions apply to this chapter, unless the context clearly requires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 xml:space="preserve">means the Iowa insurance division, supervised by the commissioner pursuant to Iowa Code section </w:t>
      </w:r>
      <w:hyperlink r:id="rId7">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in the division’s performance of the duties of the commissioner under Iowa Code chapters </w:t>
      </w:r>
      <w:hyperlink r:id="rId8">
        <w:r>
          <w:rPr>
            <w:rStyle w:val="Hyperlink"/>
            <w:rFonts w:ascii="Times New Roman" w:hAnsi="Times New Roman"/>
            <w:b w:val="false"/>
            <w:i w:val="false"/>
            <w:color w:val="000000"/>
            <w:sz w:val="22"/>
          </w:rPr>
          <w:t>515E</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“Division’s website” </w:t>
      </w:r>
      <w:r>
        <w:rPr>
          <w:rFonts w:ascii="Times New Roman" w:hAnsi="Times New Roman"/>
          <w:b w:val="false"/>
          <w:i w:val="false"/>
          <w:color w:val="000000"/>
          <w:sz w:val="22"/>
        </w:rPr>
        <w:t xml:space="preserve">means the website of the Iowa insurance division, </w:t>
      </w:r>
      <w:hyperlink r:id="rId10">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 </w:t>
      </w:r>
      <w:r>
        <w:rPr>
          <w:rFonts w:ascii="Times New Roman" w:hAnsi="Times New Roman"/>
          <w:b w:val="false"/>
          <w:i w:val="false"/>
          <w:color w:val="000000"/>
          <w:sz w:val="22"/>
        </w:rPr>
        <w:t>means obtaining insurance for an insured with a specific insurer.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191—21.2</w:t>
      </w:r>
      <w:r>
        <w:rPr>
          <w:rFonts w:ascii="Times New Roman" w:hAnsi="Times New Roman"/>
          <w:b/>
          <w:i w:val="false"/>
          <w:color w:val="000000"/>
          <w:sz w:val="22"/>
        </w:rPr>
        <w:t xml:space="preserve">(515I) </w:t>
      </w:r>
      <w:r>
        <w:rPr>
          <w:rFonts w:ascii="Times New Roman" w:hAnsi="Times New Roman"/>
          <w:b/>
          <w:i w:val="false"/>
          <w:color w:val="000000"/>
          <w:sz w:val="22"/>
        </w:rPr>
        <w:t xml:space="preserve">Eligible surplus lines insurer’s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color w:val="000000"/>
          <w:sz w:val="22"/>
        </w:rPr>
        <w:t xml:space="preserve"> Premium tax payment. </w:t>
      </w:r>
      <w:r>
        <w:rPr>
          <w:rFonts w:ascii="Times New Roman" w:hAnsi="Times New Roman"/>
          <w:b w:val="false"/>
          <w:i w:val="false"/>
          <w:color w:val="000000"/>
          <w:sz w:val="22"/>
        </w:rPr>
        <w:t xml:space="preserve">Where, pursuant to Iowa Code chapter </w:t>
      </w:r>
      <w:hyperlink r:id="rId11">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coverage is placed with an eligible surplus lines insurer, but the surplus lines insurance producer fails to pay to the division the premium tax required by Iowa Code section </w:t>
      </w:r>
      <w:hyperlink r:id="rId12">
        <w:r>
          <w:rPr>
            <w:rStyle w:val="Hyperlink"/>
            <w:rFonts w:ascii="Times New Roman" w:hAnsi="Times New Roman"/>
            <w:b w:val="false"/>
            <w:i w:val="false"/>
            <w:color w:val="000000"/>
            <w:sz w:val="22"/>
          </w:rPr>
          <w:t>515I.3(2)</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191—21.3(515I)</w:t>
        </w:r>
      </w:hyperlink>
      <w:r>
        <w:rPr>
          <w:rFonts w:ascii="Times New Roman" w:hAnsi="Times New Roman"/>
          <w:b w:val="false"/>
          <w:i w:val="false"/>
          <w:color w:val="000000"/>
          <w:sz w:val="22"/>
        </w:rPr>
        <w:t xml:space="preserve">, the eligible surplus lines insurer must pay the premium tax required by Iowa Code chapter </w:t>
      </w:r>
      <w:hyperlink r:id="rId14">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color w:val="000000"/>
          <w:sz w:val="22"/>
        </w:rPr>
        <w:t xml:space="preserve">How premium tax quoted. </w:t>
      </w:r>
      <w:r>
        <w:rPr>
          <w:rFonts w:ascii="Times New Roman" w:hAnsi="Times New Roman"/>
          <w:b w:val="false"/>
          <w:i w:val="false"/>
          <w:color w:val="000000"/>
          <w:sz w:val="22"/>
        </w:rPr>
        <w:t xml:space="preserve">An eligible surplus lines insurer or a surplus lines producer for an eligible surplus lines insurer is authorized to quote a premium that includes tax as is required by Iowa Code chapter </w:t>
      </w:r>
      <w:hyperlink r:id="rId15">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and thereafter no additional tax amount may be charged or collected. Premium tax may be stated in the contract of insurance as a separate component of the total premium only when the premium is not based upon rates or premiums that included a premium tax component. Any fees collected from residents of this state are considered part of the premium and thus are subject to taxation.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191—21.3</w:t>
      </w:r>
      <w:r>
        <w:rPr>
          <w:rFonts w:ascii="Times New Roman" w:hAnsi="Times New Roman"/>
          <w:b/>
          <w:i w:val="false"/>
          <w:color w:val="000000"/>
          <w:sz w:val="22"/>
        </w:rPr>
        <w:t xml:space="preserve">(515I) </w:t>
      </w:r>
      <w:r>
        <w:rPr>
          <w:rFonts w:ascii="Times New Roman" w:hAnsi="Times New Roman"/>
          <w:b/>
          <w:i w:val="false"/>
          <w:color w:val="000000"/>
          <w:sz w:val="22"/>
        </w:rPr>
        <w:t xml:space="preserve">Surplus lines insurance producer’s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Surplus lines insurance producer’s collection of tax. </w:t>
      </w:r>
      <w:r>
        <w:rPr>
          <w:rFonts w:ascii="Times New Roman" w:hAnsi="Times New Roman"/>
          <w:b w:val="false"/>
          <w:i w:val="false"/>
          <w:color w:val="000000"/>
          <w:sz w:val="22"/>
        </w:rPr>
        <w:t xml:space="preserve">A surplus lines insurance producer who places insurance with an eligible surplus lines insurer must collect premium tax from the eligible surplus lines insurer by withholding the applicable percentage of premiums pursuant to Iowa Code section </w:t>
      </w:r>
      <w:hyperlink r:id="rId16">
        <w:r>
          <w:rPr>
            <w:rStyle w:val="Hyperlink"/>
            <w:rFonts w:ascii="Times New Roman" w:hAnsi="Times New Roman"/>
            <w:b w:val="false"/>
            <w:i w:val="false"/>
            <w:color w:val="000000"/>
            <w:sz w:val="22"/>
          </w:rPr>
          <w:t>432.1(3)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432.1(4)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Electronic reporting of premium tax. </w:t>
      </w:r>
      <w:r>
        <w:rPr>
          <w:rFonts w:ascii="Times New Roman" w:hAnsi="Times New Roman"/>
          <w:b w:val="false"/>
          <w:i w:val="false"/>
          <w:color w:val="000000"/>
          <w:sz w:val="22"/>
        </w:rPr>
        <w:t>A surplus lines insurance producer who places insurance with an eligible surplus lines insurer must file electronically the premium tax information with the division, as instructed on the division’s website, on or before March 1 for policies issued during the preceding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On or before March 1 of each year, every surplus lines insurance producer who has placed insurance with an eligible surplus lines insurer when the policies have been issued during the preceding calendar year must file electronically with the division, or as otherwise directed by the division, a sworn report and supporting documentation, as instructed on the division’s website, which may include evidence of a diligent search required pursuant to Iowa Code section </w:t>
      </w:r>
      <w:hyperlink r:id="rId18">
        <w:r>
          <w:rPr>
            <w:rStyle w:val="Hyperlink"/>
            <w:rFonts w:ascii="Times New Roman" w:hAnsi="Times New Roman"/>
            <w:b w:val="false"/>
            <w:i w:val="false"/>
            <w:color w:val="000000"/>
            <w:sz w:val="22"/>
          </w:rPr>
          <w:t>515I.3</w:t>
        </w:r>
      </w:hyperlink>
      <w:r>
        <w:rPr>
          <w:rFonts w:ascii="Times New Roman" w:hAnsi="Times New Roman"/>
          <w:b w:val="false"/>
          <w:i w:val="false"/>
          <w:color w:val="000000"/>
          <w:sz w:val="22"/>
        </w:rPr>
        <w:t xml:space="preserve">, of all such business written during the preceding calendar year, and must submit the amount to cover the taxes due on all such business. The manner of filing electronically and the content of the report and required supporting documentation are listed on the division’s website. If no business was issued during the preceding calendar year, no report is required. Failure to file an annual report or pay the taxes imposed by Iowa Code chapter </w:t>
      </w:r>
      <w:hyperlink r:id="rId19">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will be deemed grounds for the revocation of a surplus lines insurance producer’s license by the division, and failure to file an annual report or pay taxes within the time requirements of this rule will subject the surplus lines insurance producer to the penalties of Iowa Code section </w:t>
      </w:r>
      <w:hyperlink r:id="rId20">
        <w:r>
          <w:rPr>
            <w:rStyle w:val="Hyperlink"/>
            <w:rFonts w:ascii="Times New Roman" w:hAnsi="Times New Roman"/>
            <w:b w:val="false"/>
            <w:i w:val="false"/>
            <w:color w:val="000000"/>
            <w:sz w:val="22"/>
          </w:rPr>
          <w:t>515I.12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191—21.4</w:t>
      </w:r>
      <w:r>
        <w:rPr>
          <w:rFonts w:ascii="Times New Roman" w:hAnsi="Times New Roman"/>
          <w:b/>
          <w:i w:val="false"/>
          <w:color w:val="000000"/>
          <w:sz w:val="22"/>
        </w:rPr>
        <w:t xml:space="preserve">(515I) </w:t>
      </w:r>
      <w:r>
        <w:rPr>
          <w:rFonts w:ascii="Times New Roman" w:hAnsi="Times New Roman"/>
          <w:b/>
          <w:i w:val="false"/>
          <w:color w:val="000000"/>
          <w:sz w:val="22"/>
        </w:rPr>
        <w:t xml:space="preserve">Surplus lines insurance producer’s duty to insured. </w:t>
      </w:r>
      <w:r>
        <w:rPr>
          <w:rFonts w:ascii="Times New Roman" w:hAnsi="Times New Roman"/>
          <w:b w:val="false"/>
          <w:i w:val="false"/>
          <w:color w:val="000000"/>
          <w:sz w:val="22"/>
        </w:rPr>
        <w:t xml:space="preserve">A surplus lines insurance producer who places coverage with an eligible surplus lines insurer must deliver to the insured, within 30 days of the date the policy is issued, a notice that states the following: “This policy is issued, pursuant to Iowa Code chapter </w:t>
      </w:r>
      <w:hyperlink r:id="rId21">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by an eligible surplus lines insurer in Iowa and as such is not covered by the Iowa Insurance Guaranty Association.” A surplus lines insurance producer may comply with this rule by verifying disclosure of this language in a clear and conspicuous position on the policy or by electronic delivery authorized by Iowa Code chapter </w:t>
      </w:r>
      <w:hyperlink r:id="rId22">
        <w:r>
          <w:rPr>
            <w:rStyle w:val="Hyperlink"/>
            <w:rFonts w:ascii="Times New Roman" w:hAnsi="Times New Roman"/>
            <w:b w:val="false"/>
            <w:i w:val="false"/>
            <w:color w:val="000000"/>
            <w:sz w:val="22"/>
          </w:rPr>
          <w:t>505B</w:t>
        </w:r>
      </w:hyperlink>
      <w:r>
        <w:rPr>
          <w:rFonts w:ascii="Times New Roman" w:hAnsi="Times New Roman"/>
          <w:b w:val="false"/>
          <w:i w:val="false"/>
          <w:color w:val="000000"/>
          <w:sz w:val="22"/>
        </w:rPr>
        <w:t>, if the method of delivery of the notice allows the division, the surplus lines insurance producer and the intended recipient to verify receipt of the specific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191—21.5</w:t>
      </w:r>
      <w:r>
        <w:rPr>
          <w:rFonts w:ascii="Times New Roman" w:hAnsi="Times New Roman"/>
          <w:b/>
          <w:i w:val="false"/>
          <w:color w:val="000000"/>
          <w:sz w:val="22"/>
        </w:rPr>
        <w:t xml:space="preserve">(515I) </w:t>
      </w:r>
      <w:r>
        <w:rPr>
          <w:rFonts w:ascii="Times New Roman" w:hAnsi="Times New Roman"/>
          <w:b/>
          <w:i w:val="false"/>
          <w:color w:val="000000"/>
          <w:sz w:val="22"/>
        </w:rPr>
        <w:t xml:space="preserve">Procedures for qualification and renewal as an eligible surplus lines 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procedures for initial qualification as an eligible surplus lines insurer.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nonadmitted insurer or domestic surplus lines insurer that wishes to qualify under Iowa Code chapter </w:t>
      </w:r>
      <w:hyperlink r:id="rId23">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as an eligible surplus lines insurer must make an application with the division in a format prescribed by the division, as instructed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an Iowa resident surplus lines insurance producer whom the insurer is designating as the person to accept inquiries and notices on behalf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of the greater of a $100 filing fee or a retaliatory fee, and an examination fee for all new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Demonstrated maintenance of the capital and surplus required pursuant to Iowa Code chapter </w:t>
      </w:r>
      <w:hyperlink r:id="rId24">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Procedures for renewal of an insurer as an eligible surplus lines insurer. </w:t>
      </w:r>
      <w:r>
        <w:rPr>
          <w:rFonts w:ascii="Times New Roman" w:hAnsi="Times New Roman"/>
          <w:b w:val="false"/>
          <w:i w:val="false"/>
          <w:color w:val="000000"/>
          <w:sz w:val="22"/>
        </w:rPr>
        <w:t xml:space="preserve">An eligible surplus lines insurer that was approved by the division as an eligible surplus lines insurer, except for an alien insurer under Iowa Code section </w:t>
      </w:r>
      <w:hyperlink r:id="rId25">
        <w:r>
          <w:rPr>
            <w:rStyle w:val="Hyperlink"/>
            <w:rFonts w:ascii="Times New Roman" w:hAnsi="Times New Roman"/>
            <w:b w:val="false"/>
            <w:i w:val="false"/>
            <w:color w:val="000000"/>
            <w:sz w:val="22"/>
          </w:rPr>
          <w:t>515I.2(8)</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by March 1 of each year following the year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in compliance with subparagraph </w:t>
      </w:r>
      <w:hyperlink r:id="rId26">
        <w:r>
          <w:rPr>
            <w:rStyle w:val="Hyperlink"/>
            <w:rFonts w:ascii="Times New Roman" w:hAnsi="Times New Roman"/>
            <w:b w:val="false"/>
            <w:i w:val="false"/>
            <w:color w:val="000000"/>
            <w:sz w:val="22"/>
          </w:rPr>
          <w:t>21.5(1)</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the greater of a $100 renewal fee or a retaliatory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to the division the documents and materials listed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Periodic reporting. </w:t>
      </w:r>
      <w:r>
        <w:rPr>
          <w:rFonts w:ascii="Times New Roman" w:hAnsi="Times New Roman"/>
          <w:b w:val="false"/>
          <w:i w:val="false"/>
          <w:color w:val="000000"/>
          <w:sz w:val="22"/>
        </w:rPr>
        <w:t xml:space="preserve">An eligible surplus lines insurer, except for an alien insurer under Iowa Code section </w:t>
      </w:r>
      <w:hyperlink r:id="rId27">
        <w:r>
          <w:rPr>
            <w:rStyle w:val="Hyperlink"/>
            <w:rFonts w:ascii="Times New Roman" w:hAnsi="Times New Roman"/>
            <w:b w:val="false"/>
            <w:i w:val="false"/>
            <w:color w:val="000000"/>
            <w:sz w:val="22"/>
          </w:rPr>
          <w:t>515I.2(8)</w:t>
        </w:r>
      </w:hyperlink>
      <w:r>
        <w:rPr>
          <w:rFonts w:ascii="Times New Roman" w:hAnsi="Times New Roman"/>
          <w:b w:val="false"/>
          <w:i/>
          <w:color w:val="000000"/>
          <w:sz w:val="22"/>
        </w:rPr>
        <w:t>“b,”</w:t>
      </w:r>
      <w:r>
        <w:rPr>
          <w:rFonts w:ascii="Times New Roman" w:hAnsi="Times New Roman"/>
          <w:b w:val="false"/>
          <w:i w:val="false"/>
          <w:color w:val="000000"/>
          <w:sz w:val="22"/>
        </w:rPr>
        <w:t xml:space="preserve"> must submit annual and quarterly financial statements to the division as instructed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renewal procedures. </w:t>
      </w:r>
      <w:r>
        <w:rPr>
          <w:rFonts w:ascii="Times New Roman" w:hAnsi="Times New Roman"/>
          <w:b w:val="false"/>
          <w:i w:val="false"/>
          <w:color w:val="000000"/>
          <w:sz w:val="22"/>
        </w:rPr>
        <w:t>An eligible surplus lines insurer that fails to timely file an application for renewal as an eligible surplus lines insurer or fails to provide requested information shall pay a late fee of $500.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Failure to timely file financial statements. </w:t>
      </w:r>
      <w:r>
        <w:rPr>
          <w:rFonts w:ascii="Times New Roman" w:hAnsi="Times New Roman"/>
          <w:b w:val="false"/>
          <w:i w:val="false"/>
          <w:color w:val="000000"/>
          <w:sz w:val="22"/>
        </w:rPr>
        <w:t xml:space="preserve">An eligible surplus lines insurer that fails to file a financial statement, as instructed on the division’s website, shall pay a late fee of $500. The commissioner may give notice to an insurer that fails to timely file that the insurer is in violation of this subrule. If the insurer fails to file the required financial statements within ten days of the date of the notice, the insurer shall pay an additional late fee of $100 for each day the failure continues.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with this rule. </w:t>
      </w:r>
      <w:r>
        <w:rPr>
          <w:rFonts w:ascii="Times New Roman" w:hAnsi="Times New Roman"/>
          <w:b w:val="false"/>
          <w:i w:val="false"/>
          <w:color w:val="000000"/>
          <w:sz w:val="22"/>
        </w:rPr>
        <w:t>An eligible surplus lines insurer’s authority to transact new business in this state shall immediately cease until the insurer has fully complied with this rule, including paying all applicable late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The commissioner may order the suspension of an eligible surplus lines insurer’s authority to transact the business of insurance within the state, after notice and hearing pursuant to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if the eligible surplus lines insurer fails to fully comply with this rule within 90 days, including paying all applicable late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191—21.6</w:t>
      </w:r>
      <w:r>
        <w:rPr>
          <w:rFonts w:ascii="Times New Roman" w:hAnsi="Times New Roman"/>
          <w:b/>
          <w:i w:val="false"/>
          <w:color w:val="000000"/>
          <w:sz w:val="22"/>
        </w:rPr>
        <w:t xml:space="preserve">(515E) </w:t>
      </w:r>
      <w:r>
        <w:rPr>
          <w:rFonts w:ascii="Times New Roman" w:hAnsi="Times New Roman"/>
          <w:b/>
          <w:i w:val="false"/>
          <w:color w:val="000000"/>
          <w:sz w:val="22"/>
        </w:rPr>
        <w:t xml:space="preserve">Procedures for qualification as a risk retention group.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val="false"/>
          <w:color w:val="000000"/>
          <w:sz w:val="22"/>
        </w:rPr>
        <w:t xml:space="preserve">Any insurer that wishes to register under Iowa Code chapter </w:t>
      </w:r>
      <w:hyperlink r:id="rId29">
        <w:r>
          <w:rPr>
            <w:rStyle w:val="Hyperlink"/>
            <w:rFonts w:ascii="Times New Roman" w:hAnsi="Times New Roman"/>
            <w:b w:val="false"/>
            <w:i w:val="false"/>
            <w:color w:val="000000"/>
            <w:sz w:val="22"/>
          </w:rPr>
          <w:t>515E</w:t>
        </w:r>
      </w:hyperlink>
      <w:r>
        <w:rPr>
          <w:rFonts w:ascii="Times New Roman" w:hAnsi="Times New Roman"/>
          <w:b w:val="false"/>
          <w:i w:val="false"/>
          <w:color w:val="000000"/>
          <w:sz w:val="22"/>
        </w:rPr>
        <w:t xml:space="preserve"> as a risk retention group must file with the division an application that contains information required by Iowa Code section </w:t>
      </w:r>
      <w:hyperlink r:id="rId30">
        <w:r>
          <w:rPr>
            <w:rStyle w:val="Hyperlink"/>
            <w:rFonts w:ascii="Times New Roman" w:hAnsi="Times New Roman"/>
            <w:b w:val="false"/>
            <w:i w:val="false"/>
            <w:color w:val="000000"/>
            <w:sz w:val="22"/>
          </w:rPr>
          <w:t>515E.4</w:t>
        </w:r>
      </w:hyperlink>
      <w:r>
        <w:rPr>
          <w:rFonts w:ascii="Times New Roman" w:hAnsi="Times New Roman"/>
          <w:b w:val="false"/>
          <w:i w:val="false"/>
          <w:color w:val="000000"/>
          <w:sz w:val="22"/>
        </w:rPr>
        <w:t>, which also is listed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val="false"/>
          <w:color w:val="000000"/>
          <w:sz w:val="22"/>
        </w:rPr>
        <w:t>The risk retention group must annually provide information requested by the division for determination of continued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191—21.7</w:t>
      </w:r>
      <w:r>
        <w:rPr>
          <w:rFonts w:ascii="Times New Roman" w:hAnsi="Times New Roman"/>
          <w:b/>
          <w:i w:val="false"/>
          <w:color w:val="000000"/>
          <w:sz w:val="22"/>
        </w:rPr>
        <w:t xml:space="preserve">(515E) </w:t>
      </w:r>
      <w:r>
        <w:rPr>
          <w:rFonts w:ascii="Times New Roman" w:hAnsi="Times New Roman"/>
          <w:b/>
          <w:i w:val="false"/>
          <w:color w:val="000000"/>
          <w:sz w:val="22"/>
        </w:rPr>
        <w:t xml:space="preserve">Risk retention groups. </w:t>
      </w:r>
      <w:r>
        <w:rPr>
          <w:rFonts w:ascii="Times New Roman" w:hAnsi="Times New Roman"/>
          <w:b w:val="false"/>
          <w:i w:val="false"/>
          <w:color w:val="000000"/>
          <w:sz w:val="22"/>
        </w:rPr>
        <w:t>A risk retention group may utilize its producers to report and pay premium taxes or may pay the taxes directly. If producers are utilized, the producers must file the premium tax information electronically with the division through the division’s website on or before March 1 for policies issued during the preceding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191—21.8</w:t>
      </w:r>
      <w:r>
        <w:rPr>
          <w:rFonts w:ascii="Times New Roman" w:hAnsi="Times New Roman"/>
          <w:b/>
          <w:i w:val="false"/>
          <w:color w:val="000000"/>
          <w:sz w:val="22"/>
        </w:rPr>
        <w:t xml:space="preserve">(515E) </w:t>
      </w:r>
      <w:r>
        <w:rPr>
          <w:rFonts w:ascii="Times New Roman" w:hAnsi="Times New Roman"/>
          <w:b/>
          <w:i w:val="false"/>
          <w:color w:val="000000"/>
          <w:sz w:val="22"/>
        </w:rPr>
        <w:t xml:space="preserve">Procedures for registration as a purchasing group.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21.8(1)</w:t>
      </w:r>
      <w:r>
        <w:rPr>
          <w:rFonts w:ascii="Times New Roman" w:hAnsi="Times New Roman"/>
          <w:b w:val="false"/>
          <w:i w:val="false"/>
          <w:color w:val="000000"/>
          <w:sz w:val="22"/>
        </w:rPr>
        <w:t> </w:t>
      </w:r>
      <w:r>
        <w:rPr>
          <w:rFonts w:ascii="Times New Roman" w:hAnsi="Times New Roman"/>
          <w:b w:val="false"/>
          <w:i w:val="false"/>
          <w:color w:val="000000"/>
          <w:sz w:val="22"/>
        </w:rPr>
        <w:t>Prior to doing business in this state, a purchasing group must furnish to the division notice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set forth in Iowa Code section </w:t>
      </w:r>
      <w:hyperlink r:id="rId31">
        <w:r>
          <w:rPr>
            <w:rStyle w:val="Hyperlink"/>
            <w:rFonts w:ascii="Times New Roman" w:hAnsi="Times New Roman"/>
            <w:b w:val="false"/>
            <w:i w:val="false"/>
            <w:color w:val="000000"/>
            <w:sz w:val="22"/>
          </w:rPr>
          <w:t>515E.8</w:t>
        </w:r>
      </w:hyperlink>
      <w:r>
        <w:rPr>
          <w:rFonts w:ascii="Times New Roman" w:hAnsi="Times New Roman"/>
          <w:b w:val="false"/>
          <w:i w:val="false"/>
          <w:color w:val="000000"/>
          <w:sz w:val="22"/>
        </w:rPr>
        <w:t xml:space="preserve">, which also is listed on the division’s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Designation of the commissioner for service of process, as set forth in Iowa Code section </w:t>
      </w:r>
      <w:hyperlink r:id="rId32">
        <w:r>
          <w:rPr>
            <w:rStyle w:val="Hyperlink"/>
            <w:rFonts w:ascii="Times New Roman" w:hAnsi="Times New Roman"/>
            <w:b w:val="false"/>
            <w:i w:val="false"/>
            <w:color w:val="000000"/>
            <w:sz w:val="22"/>
          </w:rPr>
          <w:t>515E.8(3)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Remittance of a $100 filing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w:t>
      </w:r>
      <w:r>
        <w:rPr>
          <w:rFonts w:ascii="Times New Roman" w:hAnsi="Times New Roman"/>
          <w:b w:val="false"/>
          <w:i w:val="false"/>
          <w:color w:val="000000"/>
          <w:sz w:val="22"/>
        </w:rPr>
        <w:t> </w:t>
      </w:r>
      <w:r>
        <w:rPr>
          <w:rFonts w:ascii="Times New Roman" w:hAnsi="Times New Roman"/>
          <w:b w:val="false"/>
          <w:i w:val="false"/>
          <w:color w:val="000000"/>
          <w:sz w:val="22"/>
        </w:rPr>
        <w:t>A registered purchasing group must pay a $100 renewal fee by March 1 of each year following the year of registration. The purchasing group must provide information requested by the division for determination of continued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191—21.9</w:t>
      </w:r>
      <w:r>
        <w:rPr>
          <w:rFonts w:ascii="Times New Roman" w:hAnsi="Times New Roman"/>
          <w:b/>
          <w:i w:val="false"/>
          <w:color w:val="000000"/>
          <w:sz w:val="22"/>
        </w:rPr>
        <w:t xml:space="preserve">(515E,515I) </w:t>
      </w:r>
      <w:r>
        <w:rPr>
          <w:rFonts w:ascii="Times New Roman" w:hAnsi="Times New Roman"/>
          <w:b/>
          <w:i w:val="false"/>
          <w:color w:val="000000"/>
          <w:sz w:val="22"/>
        </w:rPr>
        <w:t xml:space="preserve">Failure to comply; penalties. </w:t>
      </w:r>
      <w:r>
        <w:rPr>
          <w:rFonts w:ascii="Times New Roman" w:hAnsi="Times New Roman"/>
          <w:b w:val="false"/>
          <w:i w:val="false"/>
          <w:color w:val="000000"/>
          <w:sz w:val="22"/>
        </w:rPr>
        <w:t xml:space="preserve">Failure of a producer, surplus lines insurance producer, insurer, risk retention group or purchasing group to comply with this chapter or with Iowa Code chapters </w:t>
      </w:r>
      <w:hyperlink r:id="rId33">
        <w:r>
          <w:rPr>
            <w:rStyle w:val="Hyperlink"/>
            <w:rFonts w:ascii="Times New Roman" w:hAnsi="Times New Roman"/>
            <w:b w:val="false"/>
            <w:i w:val="false"/>
            <w:color w:val="000000"/>
            <w:sz w:val="22"/>
          </w:rPr>
          <w:t>515E</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may subject the producer, surplus lines insurance producer, insurer, risk retention group or purchasing group to penalties set forth in Iowa Code chapters </w:t>
      </w:r>
      <w:hyperlink r:id="rId3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515E</w:t>
        </w:r>
      </w:hyperlink>
      <w:r>
        <w:rPr>
          <w:rFonts w:ascii="Times New Roman" w:hAnsi="Times New Roman"/>
          <w:b w:val="false"/>
          <w:i w:val="false"/>
          <w:color w:val="000000"/>
          <w:sz w:val="22"/>
        </w:rPr>
        <w:t>  and </w:t>
      </w:r>
      <w:hyperlink r:id="rId37">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7737C</w:t>
      </w:r>
      <w:r>
        <w:rPr>
          <w:rFonts w:ascii="Times New Roman" w:hAnsi="Times New Roman"/>
          <w:b w:val="false"/>
          <w:i w:val="false"/>
          <w:color w:val="000000"/>
          <w:sz w:val="16"/>
        </w:rPr>
        <w:t>, IAB 3/20/24, effective 4/24/24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8">
        <w:r>
          <w:rPr>
            <w:rStyle w:val="Hyperlink"/>
            <w:rFonts w:ascii="Times New Roman" w:hAnsi="Times New Roman"/>
            <w:b w:val="false"/>
            <w:i w:val="false"/>
            <w:color w:val="000000"/>
            <w:sz w:val="22"/>
          </w:rPr>
          <w:t>515I</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515E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8/1/63]</w:t>
      </w:r>
    </w:p>
    <w:p>
      <w:pPr>
        <w:spacing w:before="0" w:after="0"/>
        <w:ind w:left="120"/>
        <w:jc w:val="center"/>
      </w:pPr>
      <w:r>
        <w:rPr>
          <w:rFonts w:ascii="Times New Roman" w:hAnsi="Times New Roman"/>
          <w:b w:val="false"/>
          <w:i w:val="false"/>
          <w:color w:val="000000"/>
          <w:sz w:val="21"/>
        </w:rPr>
        <w:t>[Filed 5/26/77, Notice 4/6/77—published 6/15/77, effective 7/20/77]</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6/22/90, Notice 5/16/90—published 7/11/90, effective 8/15/90]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10/10/91, Notice 9/4/91—published 10/30/91, effective 12/4/91]</w:t>
      </w:r>
    </w:p>
    <w:p>
      <w:pPr>
        <w:spacing w:before="0" w:after="0"/>
        <w:ind w:left="120"/>
        <w:jc w:val="center"/>
      </w:pPr>
      <w:r>
        <w:rPr>
          <w:rFonts w:ascii="Times New Roman" w:hAnsi="Times New Roman"/>
          <w:b w:val="false"/>
          <w:i w:val="false"/>
          <w:color w:val="000000"/>
          <w:sz w:val="21"/>
        </w:rPr>
        <w:t>[Filed 3/5/99, Notice 11/4/98—published 3/24/99, effective 4/28/99]</w:t>
      </w:r>
    </w:p>
    <w:p>
      <w:pPr>
        <w:spacing w:before="0" w:after="0"/>
        <w:ind w:left="120"/>
        <w:jc w:val="center"/>
      </w:pPr>
      <w:r>
        <w:rPr>
          <w:rFonts w:ascii="Times New Roman" w:hAnsi="Times New Roman"/>
          <w:b w:val="false"/>
          <w:i w:val="false"/>
          <w:color w:val="000000"/>
          <w:sz w:val="21"/>
        </w:rPr>
        <w:t>[Filed 11/2/06, Notice 9/27/06—published 11/22/06, effective 12/27/06]</w:t>
      </w:r>
    </w:p>
    <w:p>
      <w:pPr>
        <w:spacing w:before="0" w:after="0"/>
        <w:ind w:left="120"/>
        <w:jc w:val="center"/>
      </w:pPr>
      <w:r>
        <w:rPr>
          <w:rFonts w:ascii="Times New Roman" w:hAnsi="Times New Roman"/>
          <w:b w:val="false"/>
          <w:i w:val="false"/>
          <w:color w:val="000000"/>
          <w:sz w:val="21"/>
        </w:rPr>
        <w:t>[Filed ARC 7663B</w:t>
      </w:r>
      <w:r>
        <w:rPr>
          <w:rFonts w:ascii="Times New Roman" w:hAnsi="Times New Roman"/>
          <w:b w:val="false"/>
          <w:i w:val="false"/>
          <w:color w:val="000000"/>
          <w:sz w:val="21"/>
        </w:rPr>
        <w:t xml:space="preserve"> (Notice ARC 7537B, IAB 1/28/09)</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2727C</w:t>
      </w:r>
      <w:r>
        <w:rPr>
          <w:rFonts w:ascii="Times New Roman" w:hAnsi="Times New Roman"/>
          <w:b w:val="false"/>
          <w:i w:val="false"/>
          <w:color w:val="000000"/>
          <w:sz w:val="21"/>
        </w:rPr>
        <w:t xml:space="preserve"> (Notice ARC 2664C, IAB 8/3/16)</w:t>
      </w:r>
      <w:r>
        <w:rPr>
          <w:rFonts w:ascii="Times New Roman" w:hAnsi="Times New Roman"/>
          <w:b w:val="false"/>
          <w:i w:val="false"/>
          <w:color w:val="000000"/>
          <w:sz w:val="21"/>
        </w:rPr>
        <w:t>, IAB 9/28/16, effective 11/2/16]</w:t>
      </w:r>
    </w:p>
    <w:p>
      <w:pPr>
        <w:spacing w:before="0" w:after="0"/>
        <w:ind w:left="120"/>
        <w:jc w:val="center"/>
      </w:pPr>
      <w:r>
        <w:rPr>
          <w:rFonts w:ascii="Times New Roman" w:hAnsi="Times New Roman"/>
          <w:b w:val="false"/>
          <w:i w:val="false"/>
          <w:color w:val="000000"/>
          <w:sz w:val="21"/>
        </w:rPr>
        <w:t>[Filed ARC 4781C</w:t>
      </w:r>
      <w:r>
        <w:rPr>
          <w:rFonts w:ascii="Times New Roman" w:hAnsi="Times New Roman"/>
          <w:b w:val="false"/>
          <w:i w:val="false"/>
          <w:color w:val="000000"/>
          <w:sz w:val="21"/>
        </w:rPr>
        <w:t xml:space="preserve"> (Notice ARC 4622C, IAB 8/28/19)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6006C</w:t>
      </w:r>
      <w:r>
        <w:rPr>
          <w:rFonts w:ascii="Times New Roman" w:hAnsi="Times New Roman"/>
          <w:b w:val="false"/>
          <w:i w:val="false"/>
          <w:color w:val="000000"/>
          <w:sz w:val="21"/>
        </w:rPr>
        <w:t xml:space="preserve"> (Notice ARC 5874C, IAB 8/25/21)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7737C</w:t>
      </w:r>
      <w:r>
        <w:rPr>
          <w:rFonts w:ascii="Times New Roman" w:hAnsi="Times New Roman"/>
          <w:b w:val="false"/>
          <w:i w:val="false"/>
          <w:color w:val="000000"/>
          <w:sz w:val="21"/>
        </w:rPr>
        <w:t xml:space="preserve"> (Notice ARC 7352C, IAB 1/24/24)</w:t>
      </w:r>
      <w:r>
        <w:rPr>
          <w:rFonts w:ascii="Times New Roman" w:hAnsi="Times New Roman"/>
          <w:b w:val="false"/>
          <w:i w:val="false"/>
          <w:color w:val="000000"/>
          <w:sz w:val="21"/>
        </w:rPr>
        <w:t>, IAB 3/20/24, effective 4/24/24]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5E.pdf" Type="http://schemas.openxmlformats.org/officeDocument/2006/relationships/hyperlink" Id="rId5"/>
    <Relationship TargetMode="External" Target="https://www.legis.iowa.gov/docs/ico/chapter/515I.pdf" Type="http://schemas.openxmlformats.org/officeDocument/2006/relationships/hyperlink" Id="rId6"/>
    <Relationship TargetMode="External" Target="https://www.legis.iowa.gov/docs/ico/chapter/505.8.pdf" Type="http://schemas.openxmlformats.org/officeDocument/2006/relationships/hyperlink" Id="rId7"/>
    <Relationship TargetMode="External" Target="https://www.legis.iowa.gov/docs/ico/chapter/515E.pdf" Type="http://schemas.openxmlformats.org/officeDocument/2006/relationships/hyperlink" Id="rId8"/>
    <Relationship TargetMode="External" Target="https://www.legis.iowa.gov/docs/ico/chapter/515I.pdf" Type="http://schemas.openxmlformats.org/officeDocument/2006/relationships/hyperlink" Id="rId9"/>
    <Relationship TargetMode="External" Target="http://iid.iowa.gov" Type="http://schemas.openxmlformats.org/officeDocument/2006/relationships/hyperlink" Id="rId10"/>
    <Relationship TargetMode="External" Target="https://www.legis.iowa.gov/docs/ico/chapter/515I.pdf" Type="http://schemas.openxmlformats.org/officeDocument/2006/relationships/hyperlink" Id="rId11"/>
    <Relationship TargetMode="External" Target="https://www.legis.iowa.gov/docs/ico/chapter/515I.3.pdf" Type="http://schemas.openxmlformats.org/officeDocument/2006/relationships/hyperlink" Id="rId12"/>
    <Relationship TargetMode="External" Target="https://www.legis.iowa.gov/docs/iac/rule/191.21.3.pdf" Type="http://schemas.openxmlformats.org/officeDocument/2006/relationships/hyperlink" Id="rId13"/>
    <Relationship TargetMode="External" Target="https://www.legis.iowa.gov/docs/ico/chapter/515I.pdf" Type="http://schemas.openxmlformats.org/officeDocument/2006/relationships/hyperlink" Id="rId14"/>
    <Relationship TargetMode="External" Target="https://www.legis.iowa.gov/docs/ico/chapter/515I.pdf" Type="http://schemas.openxmlformats.org/officeDocument/2006/relationships/hyperlink" Id="rId15"/>
    <Relationship TargetMode="External" Target="https://www.legis.iowa.gov/docs/ico/chapter/432.1.pdf" Type="http://schemas.openxmlformats.org/officeDocument/2006/relationships/hyperlink" Id="rId16"/>
    <Relationship TargetMode="External" Target="https://www.legis.iowa.gov/docs/ico/chapter/432.1.pdf" Type="http://schemas.openxmlformats.org/officeDocument/2006/relationships/hyperlink" Id="rId17"/>
    <Relationship TargetMode="External" Target="https://www.legis.iowa.gov/docs/ico/chapter/515I.3.pdf" Type="http://schemas.openxmlformats.org/officeDocument/2006/relationships/hyperlink" Id="rId18"/>
    <Relationship TargetMode="External" Target="https://www.legis.iowa.gov/docs/ico/chapter/515I.pdf" Type="http://schemas.openxmlformats.org/officeDocument/2006/relationships/hyperlink" Id="rId19"/>
    <Relationship TargetMode="External" Target="https://www.legis.iowa.gov/docs/ico/chapter/515I.12.pdf" Type="http://schemas.openxmlformats.org/officeDocument/2006/relationships/hyperlink" Id="rId20"/>
    <Relationship TargetMode="External" Target="https://www.legis.iowa.gov/docs/ico/chapter/515I.pdf" Type="http://schemas.openxmlformats.org/officeDocument/2006/relationships/hyperlink" Id="rId21"/>
    <Relationship TargetMode="External" Target="https://www.legis.iowa.gov/docs/ico/chapter/505B.pdf" Type="http://schemas.openxmlformats.org/officeDocument/2006/relationships/hyperlink" Id="rId22"/>
    <Relationship TargetMode="External" Target="https://www.legis.iowa.gov/docs/ico/chapter/515I.pdf" Type="http://schemas.openxmlformats.org/officeDocument/2006/relationships/hyperlink" Id="rId23"/>
    <Relationship TargetMode="External" Target="https://www.legis.iowa.gov/docs/ico/chapter/515I.pdf" Type="http://schemas.openxmlformats.org/officeDocument/2006/relationships/hyperlink" Id="rId24"/>
    <Relationship TargetMode="External" Target="https://www.legis.iowa.gov/docs/ico/chapter/515I.2.pdf" Type="http://schemas.openxmlformats.org/officeDocument/2006/relationships/hyperlink" Id="rId25"/>
    <Relationship TargetMode="External" Target="https://www.legis.iowa.gov/docs/iac/rule/191.21.5.pdf" Type="http://schemas.openxmlformats.org/officeDocument/2006/relationships/hyperlink" Id="rId26"/>
    <Relationship TargetMode="External" Target="https://www.legis.iowa.gov/docs/ico/chapter/515I.2.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co/chapter/515E.pdf" Type="http://schemas.openxmlformats.org/officeDocument/2006/relationships/hyperlink" Id="rId29"/>
    <Relationship TargetMode="External" Target="https://www.legis.iowa.gov/docs/ico/chapter/515E.4.pdf" Type="http://schemas.openxmlformats.org/officeDocument/2006/relationships/hyperlink" Id="rId30"/>
    <Relationship TargetMode="External" Target="https://www.legis.iowa.gov/docs/ico/chapter/515E.8.pdf" Type="http://schemas.openxmlformats.org/officeDocument/2006/relationships/hyperlink" Id="rId31"/>
    <Relationship TargetMode="External" Target="https://www.legis.iowa.gov/docs/ico/chapter/515E.8.pdf" Type="http://schemas.openxmlformats.org/officeDocument/2006/relationships/hyperlink" Id="rId32"/>
    <Relationship TargetMode="External" Target="https://www.legis.iowa.gov/docs/ico/chapter/515E.pdf" Type="http://schemas.openxmlformats.org/officeDocument/2006/relationships/hyperlink" Id="rId33"/>
    <Relationship TargetMode="External" Target="https://www.legis.iowa.gov/docs/ico/chapter/515I.pdf" Type="http://schemas.openxmlformats.org/officeDocument/2006/relationships/hyperlink" Id="rId34"/>
    <Relationship TargetMode="External" Target="https://www.legis.iowa.gov/docs/ico/chapter/507B.pdf" Type="http://schemas.openxmlformats.org/officeDocument/2006/relationships/hyperlink" Id="rId35"/>
    <Relationship TargetMode="External" Target="https://www.legis.iowa.gov/docs/ico/chapter/515E.pdf" Type="http://schemas.openxmlformats.org/officeDocument/2006/relationships/hyperlink" Id="rId36"/>
    <Relationship TargetMode="External" Target="https://www.legis.iowa.gov/docs/ico/chapter/515I.pdf" Type="http://schemas.openxmlformats.org/officeDocument/2006/relationships/hyperlink" Id="rId37"/>
    <Relationship TargetMode="External" Target="https://www.legis.iowa.gov/docs/ico/chapter/515I.pdf" Type="http://schemas.openxmlformats.org/officeDocument/2006/relationships/hyperlink" Id="rId38"/>
    <Relationship TargetMode="External" Target="https://www.legis.iowa.gov/docs/ico/chapter/515E.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