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PROPERTY AND CASUALTY INSURANCE</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w:t>
      </w:r>
    </w:p>
    <w:p>
      <w:pPr>
        <w:spacing w:before="0" w:after="0"/>
        <w:ind w:left="120"/>
        <w:jc w:val="center"/>
      </w:pPr>
      <w:r>
        <w:rPr>
          <w:rFonts w:ascii="Times New Roman" w:hAnsi="Times New Roman"/>
          <w:b w:val="false"/>
          <w:i w:val="false"/>
          <w:color w:val="000000"/>
          <w:sz w:val="21"/>
        </w:rPr>
        <w:t>PROPERTY AND CASUALTY INSURANCE</w:t>
      </w:r>
    </w:p>
    <w:p>
      <w:pPr>
        <w:spacing w:before="0" w:after="0"/>
        <w:ind w:left="120"/>
        <w:jc w:val="center"/>
      </w:pPr>
      <w:r>
        <w:rPr>
          <w:rFonts w:ascii="Times New Roman" w:hAnsi="Times New Roman"/>
          <w:b w:val="false"/>
          <w:i w:val="false"/>
          <w:color w:val="000000"/>
          <w:sz w:val="14"/>
        </w:rPr>
        <w:t>[Prior to 10/22/86, Insurance Department[510]]</w:t>
      </w:r>
      <w:r>
        <w:br/>
      </w:r>
    </w:p>
    <w:p>
      <w:pPr>
        <w:pBdr>
          <w:top w:space="10"/>
          <w:bottom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FORM AND RATE REQUIREMENTS</w:t>
      </w:r>
    </w:p>
    <w:p>
      <w:pPr>
        <w:spacing w:before="0" w:after="0"/>
        <w:ind w:left="120"/>
        <w:jc w:val="both"/>
      </w:pPr>
      <w:r>
        <w:rPr>
          <w:rFonts w:ascii="Times New Roman" w:hAnsi="Times New Roman"/>
          <w:b/>
          <w:i w:val="false"/>
          <w:color w:val="000000"/>
          <w:sz w:val="22"/>
        </w:rPr>
        <w:t>191—20.1</w:t>
      </w:r>
      <w:r>
        <w:rPr>
          <w:rFonts w:ascii="Times New Roman" w:hAnsi="Times New Roman"/>
          <w:b/>
          <w:i w:val="false"/>
          <w:color w:val="000000"/>
          <w:sz w:val="22"/>
        </w:rPr>
        <w:t xml:space="preserve">(505,509,514A,515,515A,515F) </w:t>
      </w:r>
      <w:r>
        <w:rPr>
          <w:rFonts w:ascii="Times New Roman" w:hAnsi="Times New Roman"/>
          <w:b/>
          <w:i w:val="false"/>
          <w:color w:val="000000"/>
          <w:sz w:val="22"/>
        </w:rPr>
        <w:t xml:space="preserve">General requirements for filing rates and 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w:t>
      </w:r>
      <w:r>
        <w:rPr>
          <w:rFonts w:ascii="Times New Roman" w:hAnsi="Times New Roman"/>
          <w:b w:val="false"/>
          <w:i w:val="false"/>
          <w:color w:val="000000"/>
          <w:sz w:val="22"/>
        </w:rPr>
        <w:t> </w:t>
      </w:r>
      <w:r>
        <w:rPr>
          <w:rFonts w:ascii="Times New Roman" w:hAnsi="Times New Roman"/>
          <w:b w:val="false"/>
          <w:i w:val="false"/>
          <w:color w:val="000000"/>
          <w:sz w:val="22"/>
        </w:rPr>
        <w:t xml:space="preserve">Insurers required to file rates or forms with the division shall submit required rate and form filings and any fees required for the filings electronically using the National Association of Insurance Commissioners’ System for Electronic Rate and Form Filing (SERFF). Insurers must comply with the division’s requirements for submissions, including both the Iowa general instructions and the specific submission requirements for the type of insurance for which the companies are submitting forms or rates, as set out on the SERFF website at </w:t>
      </w:r>
      <w:hyperlink r:id="rId5">
        <w:r>
          <w:rPr>
            <w:rStyle w:val="Hyperlink"/>
            <w:rFonts w:ascii="Times New Roman" w:hAnsi="Times New Roman"/>
            <w:b w:val="false"/>
            <w:i w:val="false"/>
            <w:color w:val="000000"/>
            <w:sz w:val="22"/>
            <w:u w:val="single"/>
          </w:rPr>
          <w:t>serff.com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w:t>
      </w:r>
      <w:r>
        <w:rPr>
          <w:rFonts w:ascii="Times New Roman" w:hAnsi="Times New Roman"/>
          <w:b w:val="false"/>
          <w:i w:val="false"/>
          <w:color w:val="000000"/>
          <w:sz w:val="22"/>
        </w:rPr>
        <w:t> </w:t>
      </w:r>
      <w:r>
        <w:rPr>
          <w:rFonts w:ascii="Times New Roman" w:hAnsi="Times New Roman"/>
          <w:b w:val="false"/>
          <w:i w:val="false"/>
          <w:color w:val="000000"/>
          <w:sz w:val="22"/>
        </w:rPr>
        <w:t>No rate filing shall include any adjustment designed to recover underwriting or operating losses incurred out of state. Upon request by the commissioner, insurers doing business in Iowa shall segregate in their rate filings data from any state identified by the commissioner, and the filings shall include a certification that no portion of any rate increase is designed to recover underwriting or operating losses incurred in another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7736C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191—20.2</w:t>
      </w:r>
      <w:r>
        <w:rPr>
          <w:rFonts w:ascii="Times New Roman" w:hAnsi="Times New Roman"/>
          <w:b/>
          <w:i w:val="false"/>
          <w:color w:val="000000"/>
          <w:sz w:val="22"/>
        </w:rPr>
        <w:t xml:space="preserve">(505) </w:t>
      </w:r>
      <w:r>
        <w:rPr>
          <w:rFonts w:ascii="Times New Roman" w:hAnsi="Times New Roman"/>
          <w:b/>
          <w:i w:val="false"/>
          <w:color w:val="000000"/>
          <w:sz w:val="22"/>
        </w:rPr>
        <w:t xml:space="preserve">Objection to form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w:t>
      </w:r>
      <w:r>
        <w:rPr>
          <w:rFonts w:ascii="Times New Roman" w:hAnsi="Times New Roman"/>
          <w:b w:val="false"/>
          <w:i w:val="false"/>
          <w:color w:val="000000"/>
          <w:sz w:val="22"/>
        </w:rPr>
        <w:t> </w:t>
      </w:r>
      <w:r>
        <w:rPr>
          <w:rFonts w:ascii="Times New Roman" w:hAnsi="Times New Roman"/>
          <w:b w:val="false"/>
          <w:i w:val="false"/>
          <w:color w:val="000000"/>
          <w:sz w:val="22"/>
        </w:rPr>
        <w:t>Any insured or established organization with one or more insureds among its members that has an objection to a form filing may submit to the insurance commissioner a written request for a hearing on the filing. A request for a hearing must be filed within 20 days after the filing has been received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w:t>
      </w:r>
      <w:r>
        <w:rPr>
          <w:rFonts w:ascii="Times New Roman" w:hAnsi="Times New Roman"/>
          <w:b w:val="false"/>
          <w:i w:val="false"/>
          <w:color w:val="000000"/>
          <w:sz w:val="22"/>
        </w:rPr>
        <w:t> </w:t>
      </w:r>
      <w:r>
        <w:rPr>
          <w:rFonts w:ascii="Times New Roman" w:hAnsi="Times New Roman"/>
          <w:b w:val="false"/>
          <w:i w:val="false"/>
          <w:color w:val="000000"/>
          <w:sz w:val="22"/>
        </w:rPr>
        <w:t>Within 20 days after receipt of the request for a hearing, the commissioner will hold a hearing to consider the objection to the filing. The commissioner will provide not less than ten days’ written notice of the time and place of the hearing to the person or association filing the request, to the filing insurer or organization, and to any other person requesting notice. The commissioner may suspend or postpone the effective date of the filing pending the hearing. Upon consideration of the information received at the hearing, the commissioner may determine whether or not to approve the filing.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7736C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191—20.3</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191—20.4</w:t>
      </w:r>
      <w:r>
        <w:rPr>
          <w:rFonts w:ascii="Times New Roman" w:hAnsi="Times New Roman"/>
          <w:b/>
          <w:i w:val="false"/>
          <w:color w:val="000000"/>
          <w:sz w:val="22"/>
        </w:rPr>
        <w:t xml:space="preserve">(505,509,514A,515,515A,515F) </w:t>
      </w:r>
      <w:r>
        <w:rPr>
          <w:rFonts w:ascii="Times New Roman" w:hAnsi="Times New Roman"/>
          <w:b/>
          <w:i w:val="false"/>
          <w:color w:val="000000"/>
          <w:sz w:val="22"/>
        </w:rPr>
        <w:t xml:space="preserve">Policy form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w:t>
      </w:r>
      <w:r>
        <w:rPr>
          <w:rFonts w:ascii="Times New Roman" w:hAnsi="Times New Roman"/>
          <w:b w:val="false"/>
          <w:i w:val="false"/>
          <w:color w:val="000000"/>
          <w:sz w:val="22"/>
        </w:rPr>
        <w:t> </w:t>
      </w:r>
      <w:r>
        <w:rPr>
          <w:rFonts w:ascii="Times New Roman" w:hAnsi="Times New Roman"/>
          <w:b w:val="false"/>
          <w:i w:val="false"/>
          <w:color w:val="000000"/>
          <w:sz w:val="22"/>
        </w:rPr>
        <w:t>Each policy form, endorsement, application and agreement modifying the provisions of policies must bear an identification form number. This form number must be in the lower left-hand corner unless uniform or authentic forms are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w:t>
      </w:r>
      <w:r>
        <w:rPr>
          <w:rFonts w:ascii="Times New Roman" w:hAnsi="Times New Roman"/>
          <w:b w:val="false"/>
          <w:i w:val="false"/>
          <w:color w:val="000000"/>
          <w:sz w:val="22"/>
        </w:rPr>
        <w:t> </w:t>
      </w:r>
      <w:r>
        <w:rPr>
          <w:rFonts w:ascii="Times New Roman" w:hAnsi="Times New Roman"/>
          <w:b w:val="false"/>
          <w:i w:val="false"/>
          <w:color w:val="000000"/>
          <w:sz w:val="22"/>
        </w:rPr>
        <w:t>A form filing that has not been previously approved, disapproved or questioned shall be deemed approved on or after 30 days from the date that all necessary requirements are submitted to SERFF.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7736C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191—20.5</w:t>
      </w:r>
      <w:r>
        <w:rPr>
          <w:rFonts w:ascii="Times New Roman" w:hAnsi="Times New Roman"/>
          <w:b/>
          <w:i w:val="false"/>
          <w:color w:val="000000"/>
          <w:sz w:val="22"/>
        </w:rPr>
        <w:t xml:space="preserve">(515A) </w:t>
      </w:r>
      <w:r>
        <w:rPr>
          <w:rFonts w:ascii="Times New Roman" w:hAnsi="Times New Roman"/>
          <w:b/>
          <w:i w:val="false"/>
          <w:color w:val="000000"/>
          <w:sz w:val="22"/>
        </w:rPr>
        <w:t xml:space="preserve">Rate or manual rule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insurer shall determine and file its final rates with the commissioner pursuant to provisions of Iowa Code chapter </w:t>
      </w:r>
      <w:hyperlink r:id="rId6">
        <w:r>
          <w:rPr>
            <w:rStyle w:val="Hyperlink"/>
            <w:rFonts w:ascii="Times New Roman" w:hAnsi="Times New Roman"/>
            <w:b w:val="false"/>
            <w:i w:val="false"/>
            <w:color w:val="000000"/>
            <w:sz w:val="22"/>
          </w:rPr>
          <w:t>515F</w:t>
        </w:r>
      </w:hyperlink>
      <w:r>
        <w:rPr>
          <w:rFonts w:ascii="Times New Roman" w:hAnsi="Times New Roman"/>
          <w:b w:val="false"/>
          <w:i w:val="false"/>
          <w:color w:val="000000"/>
          <w:sz w:val="22"/>
        </w:rPr>
        <w:t xml:space="preserve">, except for insurers of workers’ compensation that are specifically excluded by Iowa Code section </w:t>
      </w:r>
      <w:hyperlink r:id="rId7">
        <w:r>
          <w:rPr>
            <w:rStyle w:val="Hyperlink"/>
            <w:rFonts w:ascii="Times New Roman" w:hAnsi="Times New Roman"/>
            <w:b w:val="false"/>
            <w:i w:val="false"/>
            <w:color w:val="000000"/>
            <w:sz w:val="22"/>
          </w:rPr>
          <w:t>515F.3(2)</w:t>
        </w:r>
      </w:hyperlink>
      <w:r>
        <w:rPr>
          <w:rFonts w:ascii="Times New Roman" w:hAnsi="Times New Roman"/>
          <w:b w:val="false"/>
          <w:i w:val="false"/>
          <w:color w:val="000000"/>
          <w:sz w:val="22"/>
        </w:rPr>
        <w:t xml:space="preserve"> and residual market mechanisms.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Advisory organizations, defined in Iowa Code section </w:t>
      </w:r>
      <w:hyperlink r:id="rId8">
        <w:r>
          <w:rPr>
            <w:rStyle w:val="Hyperlink"/>
            <w:rFonts w:ascii="Times New Roman" w:hAnsi="Times New Roman"/>
            <w:b w:val="false"/>
            <w:i w:val="false"/>
            <w:color w:val="000000"/>
            <w:sz w:val="22"/>
          </w:rPr>
          <w:t>515F.2</w:t>
        </w:r>
      </w:hyperlink>
      <w:r>
        <w:rPr>
          <w:rFonts w:ascii="Times New Roman" w:hAnsi="Times New Roman"/>
          <w:b w:val="false"/>
          <w:i w:val="false"/>
          <w:color w:val="000000"/>
          <w:sz w:val="22"/>
        </w:rPr>
        <w:t xml:space="preserve"> and licensed pursuant to Iowa Code section </w:t>
      </w:r>
      <w:hyperlink r:id="rId9">
        <w:r>
          <w:rPr>
            <w:rStyle w:val="Hyperlink"/>
            <w:rFonts w:ascii="Times New Roman" w:hAnsi="Times New Roman"/>
            <w:b w:val="false"/>
            <w:i w:val="false"/>
            <w:color w:val="000000"/>
            <w:sz w:val="22"/>
          </w:rPr>
          <w:t>515F.8</w:t>
        </w:r>
      </w:hyperlink>
      <w:r>
        <w:rPr>
          <w:rFonts w:ascii="Times New Roman" w:hAnsi="Times New Roman"/>
          <w:b w:val="false"/>
          <w:i w:val="false"/>
          <w:color w:val="000000"/>
          <w:sz w:val="22"/>
        </w:rPr>
        <w:t xml:space="preserve">, may file on behalf of their member and subscriber companies prospective loss costs, supplementary rating information and supporting information as defined in Iowa Code section </w:t>
      </w:r>
      <w:hyperlink r:id="rId10">
        <w:r>
          <w:rPr>
            <w:rStyle w:val="Hyperlink"/>
            <w:rFonts w:ascii="Times New Roman" w:hAnsi="Times New Roman"/>
            <w:b w:val="false"/>
            <w:i w:val="false"/>
            <w:color w:val="000000"/>
            <w:sz w:val="22"/>
          </w:rPr>
          <w:t>515F.2</w:t>
        </w:r>
      </w:hyperlink>
      <w:r>
        <w:rPr>
          <w:rFonts w:ascii="Times New Roman" w:hAnsi="Times New Roman"/>
          <w:b w:val="false"/>
          <w:i w:val="false"/>
          <w:color w:val="000000"/>
          <w:sz w:val="22"/>
        </w:rPr>
        <w:t xml:space="preserve">. Advisory organization filings shall be filed and made effective in accordance with the provisions of Iowa Code sections </w:t>
      </w:r>
      <w:hyperlink r:id="rId11">
        <w:r>
          <w:rPr>
            <w:rStyle w:val="Hyperlink"/>
            <w:rFonts w:ascii="Times New Roman" w:hAnsi="Times New Roman"/>
            <w:b w:val="false"/>
            <w:i w:val="false"/>
            <w:color w:val="000000"/>
            <w:sz w:val="22"/>
          </w:rPr>
          <w:t>515F.4</w:t>
        </w:r>
      </w:hyperlink>
      <w:r>
        <w:rPr>
          <w:rFonts w:ascii="Times New Roman" w:hAnsi="Times New Roman"/>
          <w:b w:val="false"/>
          <w:i w:val="false"/>
          <w:color w:val="000000"/>
          <w:sz w:val="22"/>
        </w:rPr>
        <w:t xml:space="preserve"> through </w:t>
      </w:r>
      <w:hyperlink r:id="rId12">
        <w:r>
          <w:rPr>
            <w:rStyle w:val="Hyperlink"/>
            <w:rFonts w:ascii="Times New Roman" w:hAnsi="Times New Roman"/>
            <w:b w:val="false"/>
            <w:i w:val="false"/>
            <w:color w:val="000000"/>
            <w:sz w:val="22"/>
          </w:rPr>
          <w:t>515F.6</w:t>
        </w:r>
      </w:hyperlink>
      <w:r>
        <w:rPr>
          <w:rFonts w:ascii="Times New Roman" w:hAnsi="Times New Roman"/>
          <w:b w:val="false"/>
          <w:i w:val="false"/>
          <w:color w:val="000000"/>
          <w:sz w:val="22"/>
        </w:rPr>
        <w:t xml:space="preserve"> or </w:t>
      </w:r>
      <w:hyperlink r:id="rId13">
        <w:r>
          <w:rPr>
            <w:rStyle w:val="Hyperlink"/>
            <w:rFonts w:ascii="Times New Roman" w:hAnsi="Times New Roman"/>
            <w:b w:val="false"/>
            <w:i w:val="false"/>
            <w:color w:val="000000"/>
            <w:sz w:val="22"/>
          </w:rPr>
          <w:t>515F.23</w:t>
        </w:r>
      </w:hyperlink>
      <w:r>
        <w:rPr>
          <w:rFonts w:ascii="Times New Roman" w:hAnsi="Times New Roman"/>
          <w:b w:val="false"/>
          <w:i w:val="false"/>
          <w:color w:val="000000"/>
          <w:sz w:val="22"/>
        </w:rPr>
        <w:t xml:space="preserve"> through </w:t>
      </w:r>
      <w:hyperlink r:id="rId14">
        <w:r>
          <w:rPr>
            <w:rStyle w:val="Hyperlink"/>
            <w:rFonts w:ascii="Times New Roman" w:hAnsi="Times New Roman"/>
            <w:b w:val="false"/>
            <w:i w:val="false"/>
            <w:color w:val="000000"/>
            <w:sz w:val="22"/>
          </w:rPr>
          <w:t>515F.25</w:t>
        </w:r>
      </w:hyperlink>
      <w:r>
        <w:rPr>
          <w:rFonts w:ascii="Times New Roman" w:hAnsi="Times New Roman"/>
          <w:b w:val="false"/>
          <w:i w:val="false"/>
          <w:color w:val="000000"/>
          <w:sz w:val="22"/>
        </w:rPr>
        <w:t xml:space="preserve"> that apply to the filing and approval of rates and supplementary rating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insurer may satisfy its obligation to make rate filings and supplementary rating information by becoming a participating insurer of a licensed advisory organization that makes reference filings of advisory prospective loss costs and by authorizing the commissioner to accept such filings on its behalf, subject to any modifications filed by the insurer. The insurer’s rates shall be the prospective loss costs filed by the advisory organization that have been put into effect in accordance with paragraph </w:t>
      </w:r>
      <w:hyperlink r:id="rId15">
        <w:r>
          <w:rPr>
            <w:rStyle w:val="Hyperlink"/>
            <w:rFonts w:ascii="Times New Roman" w:hAnsi="Times New Roman"/>
            <w:b w:val="false"/>
            <w:i w:val="false"/>
            <w:color w:val="000000"/>
            <w:sz w:val="22"/>
          </w:rPr>
          <w:t>20.5(1)</w:t>
        </w:r>
        <w:r>
          <w:rPr>
            <w:rFonts w:ascii="Times New Roman" w:hAnsi="Times New Roman"/>
            <w:b w:val="false"/>
            <w:i/>
            <w:color w:val="000000"/>
            <w:sz w:val="22"/>
          </w:rPr>
          <w:t>“a,”</w:t>
        </w:r>
      </w:hyperlink>
      <w:r>
        <w:rPr>
          <w:rFonts w:ascii="Times New Roman" w:hAnsi="Times New Roman"/>
          <w:b w:val="false"/>
          <w:i w:val="false"/>
          <w:color w:val="000000"/>
          <w:sz w:val="22"/>
        </w:rPr>
        <w:t xml:space="preserve"> combined with the loss cost adjustments that are filed in accordance with paragraph </w:t>
      </w:r>
      <w:hyperlink r:id="rId16">
        <w:r>
          <w:rPr>
            <w:rStyle w:val="Hyperlink"/>
            <w:rFonts w:ascii="Times New Roman" w:hAnsi="Times New Roman"/>
            <w:b w:val="false"/>
            <w:i w:val="false"/>
            <w:color w:val="000000"/>
            <w:sz w:val="22"/>
          </w:rPr>
          <w:t>20.5(1)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insurer has previously filed forms modifying coverage provided by the applicable advisory organization forms, such fact should be noted in the rate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w:t>
      </w:r>
      <w:r>
        <w:rPr>
          <w:rFonts w:ascii="Times New Roman" w:hAnsi="Times New Roman"/>
          <w:b w:val="false"/>
          <w:i w:val="false"/>
          <w:color w:val="000000"/>
          <w:sz w:val="22"/>
        </w:rPr>
        <w:t> </w:t>
      </w:r>
      <w:r>
        <w:rPr>
          <w:rFonts w:ascii="Times New Roman" w:hAnsi="Times New Roman"/>
          <w:b w:val="false"/>
          <w:i w:val="false"/>
          <w:color w:val="000000"/>
          <w:sz w:val="22"/>
        </w:rPr>
        <w:t xml:space="preserve">Rate filings shall reflect that due consideration has been given to the factors enumerated in Iowa Code section </w:t>
      </w:r>
      <w:hyperlink r:id="rId17">
        <w:r>
          <w:rPr>
            <w:rStyle w:val="Hyperlink"/>
            <w:rFonts w:ascii="Times New Roman" w:hAnsi="Times New Roman"/>
            <w:b w:val="false"/>
            <w:i w:val="false"/>
            <w:color w:val="000000"/>
            <w:sz w:val="22"/>
          </w:rPr>
          <w:t>515F.4(1)</w:t>
        </w:r>
      </w:hyperlink>
      <w:r>
        <w:rPr>
          <w:rFonts w:ascii="Times New Roman" w:hAnsi="Times New Roman"/>
          <w:b w:val="false"/>
          <w:i w:val="false"/>
          <w:color w:val="000000"/>
          <w:sz w:val="22"/>
        </w:rPr>
        <w:t>, and shall be accompanied by supporting statistical exhibits. In addition, each filing shall note the date of the last revision of rates affecting this coverage and briefly describe the nature of that revision. Such filings shall identify each page filed by placing their own name thereon.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20.5(3)</w:t>
      </w:r>
      <w:r>
        <w:rPr>
          <w:rFonts w:ascii="Times New Roman" w:hAnsi="Times New Roman"/>
          <w:b w:val="false"/>
          <w:i w:val="false"/>
          <w:color w:val="000000"/>
          <w:sz w:val="22"/>
        </w:rPr>
        <w:t> </w:t>
      </w:r>
      <w:r>
        <w:rPr>
          <w:rFonts w:ascii="Times New Roman" w:hAnsi="Times New Roman"/>
          <w:b w:val="false"/>
          <w:i w:val="false"/>
          <w:color w:val="000000"/>
          <w:sz w:val="22"/>
        </w:rPr>
        <w:t>If a company filing rates used the manuals of an advisory organization in its filings, any portion of the manuals of the advisory organization that will not be followed by the filing must be clearly shown as deleted or amended by use of an appropriately numbered exception page.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20.5(4)</w:t>
      </w:r>
      <w:r>
        <w:rPr>
          <w:rFonts w:ascii="Times New Roman" w:hAnsi="Times New Roman"/>
          <w:b w:val="false"/>
          <w:i w:val="false"/>
          <w:color w:val="000000"/>
          <w:sz w:val="22"/>
        </w:rPr>
        <w:t> </w:t>
      </w:r>
      <w:r>
        <w:rPr>
          <w:rFonts w:ascii="Times New Roman" w:hAnsi="Times New Roman"/>
          <w:b w:val="false"/>
          <w:i w:val="false"/>
          <w:color w:val="000000"/>
          <w:sz w:val="22"/>
        </w:rPr>
        <w:t>For residual market mechanisms, insurers making filings on their own behalf shall identify the submission as an independent filing or a deviation from the previously filed form, rate, or rule. A deviation filing is a submission that represents modification of a form or rate or rule previously filed by an authorized rating organization or advisory organization on behalf of its member and subscriber companies. An insurer shall note in its filing if it has previously filed forms modifying coverage provided by the applicable standard forms.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7736C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191—20.6</w:t>
      </w:r>
      <w:r>
        <w:rPr>
          <w:rFonts w:ascii="Times New Roman" w:hAnsi="Times New Roman"/>
          <w:b/>
          <w:i w:val="false"/>
          <w:color w:val="000000"/>
          <w:sz w:val="22"/>
        </w:rPr>
        <w:t xml:space="preserve">(515A) </w:t>
      </w:r>
      <w:r>
        <w:rPr>
          <w:rFonts w:ascii="Times New Roman" w:hAnsi="Times New Roman"/>
          <w:b/>
          <w:i w:val="false"/>
          <w:color w:val="000000"/>
          <w:sz w:val="22"/>
        </w:rPr>
        <w:t xml:space="preserve">Exemption from rate filing requirement.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insurer requesting, pursuant to Iowa Code section </w:t>
      </w:r>
      <w:hyperlink r:id="rId18">
        <w:r>
          <w:rPr>
            <w:rStyle w:val="Hyperlink"/>
            <w:rFonts w:ascii="Times New Roman" w:hAnsi="Times New Roman"/>
            <w:b w:val="false"/>
            <w:i w:val="false"/>
            <w:color w:val="000000"/>
            <w:sz w:val="22"/>
          </w:rPr>
          <w:t>515F.5(4)</w:t>
        </w:r>
      </w:hyperlink>
      <w:r>
        <w:rPr>
          <w:rFonts w:ascii="Times New Roman" w:hAnsi="Times New Roman"/>
          <w:b w:val="false"/>
          <w:i w:val="false"/>
          <w:color w:val="000000"/>
          <w:sz w:val="22"/>
        </w:rPr>
        <w:t>, suspension or modification of the requirement of filing of a rate shall provide the commissioner with a full explanation for the proposed exemption from the filing requirement together with any actuarial data available and shall furnish the commissioner with any additional material the commissioner may desire.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w:t>
      </w:r>
      <w:r>
        <w:rPr>
          <w:rFonts w:ascii="Times New Roman" w:hAnsi="Times New Roman"/>
          <w:b w:val="false"/>
          <w:i w:val="false"/>
          <w:color w:val="000000"/>
          <w:sz w:val="22"/>
        </w:rPr>
        <w:t> </w:t>
      </w:r>
      <w:r>
        <w:rPr>
          <w:rFonts w:ascii="Times New Roman" w:hAnsi="Times New Roman"/>
          <w:b w:val="false"/>
          <w:i w:val="false"/>
          <w:color w:val="000000"/>
          <w:sz w:val="22"/>
        </w:rPr>
        <w:t>If the commissioner finds that a proposed rate represents a classification for which credible and homogeneous statistical experience does not exist and cannot be analyzed using standard actuarial techniques to produce a statistically significant average rate for the individual risks within the classification, the commissioner may exempt the insurer from the filing requirement for that proposed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20.6(3)</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insurer shall maintain statistical records of the experience and expenses attendant upon the risks covered by any rate exempted by the commissioner from the filing requirement. The insurer may supplement statistical information filed with the commissioner with information by an advisory organization licensed pursuant to Iowa Code section </w:t>
      </w:r>
      <w:hyperlink r:id="rId19">
        <w:r>
          <w:rPr>
            <w:rStyle w:val="Hyperlink"/>
            <w:rFonts w:ascii="Times New Roman" w:hAnsi="Times New Roman"/>
            <w:b w:val="false"/>
            <w:i w:val="false"/>
            <w:color w:val="000000"/>
            <w:sz w:val="22"/>
          </w:rPr>
          <w:t>515F.8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515A.4(6)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7736C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191—20.7</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191—20.8</w:t>
      </w:r>
      <w:r>
        <w:rPr>
          <w:rFonts w:ascii="Times New Roman" w:hAnsi="Times New Roman"/>
          <w:b/>
          <w:i w:val="false"/>
          <w:color w:val="000000"/>
          <w:sz w:val="22"/>
        </w:rPr>
        <w:t xml:space="preserve">(515F) </w:t>
      </w:r>
      <w:r>
        <w:rPr>
          <w:rFonts w:ascii="Times New Roman" w:hAnsi="Times New Roman"/>
          <w:b/>
          <w:i w:val="false"/>
          <w:color w:val="000000"/>
          <w:sz w:val="22"/>
        </w:rPr>
        <w:t xml:space="preserve">Rate filings for crop-hail insurance. </w:t>
      </w:r>
      <w:r>
        <w:rPr>
          <w:rFonts w:ascii="Times New Roman" w:hAnsi="Times New Roman"/>
          <w:b w:val="false"/>
          <w:i w:val="false"/>
          <w:color w:val="000000"/>
          <w:sz w:val="22"/>
        </w:rPr>
        <w:t>Rate filings for crop-hail insurance shall be submitted on or before January 31 of each calendar year. Each company may file one set of rates per policy plan per calendar year that shall remain in effect throughout the current crop year. In the absence of a new filing, rates on file from the previous year will remain in effect. Each filing shall be accompanied by a cover letter, synopsis sheet and supporting data that justify the filed rate.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7736C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191—20.9</w:t>
      </w:r>
      <w:r>
        <w:rPr>
          <w:rFonts w:ascii="Times New Roman" w:hAnsi="Times New Roman"/>
          <w:b w:val="false"/>
          <w:i w:val="false"/>
          <w:color w:val="000000"/>
          <w:sz w:val="22"/>
        </w:rPr>
        <w:t xml:space="preserve"> and </w:t>
      </w:r>
      <w:r>
        <w:rPr>
          <w:rFonts w:ascii="Times New Roman" w:hAnsi="Times New Roman"/>
          <w:b/>
          <w:i w:val="false"/>
          <w:color w:val="000000"/>
          <w:sz w:val="22"/>
        </w:rPr>
        <w:t>20.10</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191—20.11</w:t>
      </w:r>
      <w:r>
        <w:rPr>
          <w:rFonts w:ascii="Times New Roman" w:hAnsi="Times New Roman"/>
          <w:b/>
          <w:i w:val="false"/>
          <w:color w:val="000000"/>
          <w:sz w:val="22"/>
        </w:rPr>
        <w:t xml:space="preserve">(515) </w:t>
      </w:r>
      <w:r>
        <w:rPr>
          <w:rFonts w:ascii="Times New Roman" w:hAnsi="Times New Roman"/>
          <w:b/>
          <w:i w:val="false"/>
          <w:color w:val="000000"/>
          <w:sz w:val="22"/>
        </w:rPr>
        <w:t xml:space="preserve">Exemption from form and rate filing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lines of insurance shall be exempt from the form and rate filing requirements of Iowa Code section </w:t>
      </w:r>
      <w:hyperlink r:id="rId21">
        <w:r>
          <w:rPr>
            <w:rStyle w:val="Hyperlink"/>
            <w:rFonts w:ascii="Times New Roman" w:hAnsi="Times New Roman"/>
            <w:b w:val="false"/>
            <w:i w:val="false"/>
            <w:color w:val="000000"/>
            <w:sz w:val="22"/>
          </w:rPr>
          <w:t>515.102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Aircraft hull and aviation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Difference-in-conditions.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Kidnap-ransom.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Manuscript policies and endorsements issued to not more than two insureds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Political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Terrorism.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War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Weather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w:t>
      </w:r>
      <w:r>
        <w:rPr>
          <w:rFonts w:ascii="Times New Roman" w:hAnsi="Times New Roman"/>
          <w:b w:val="false"/>
          <w:i w:val="false"/>
          <w:color w:val="000000"/>
          <w:sz w:val="22"/>
        </w:rPr>
        <w:t> </w:t>
      </w:r>
      <w:r>
        <w:rPr>
          <w:rFonts w:ascii="Times New Roman" w:hAnsi="Times New Roman"/>
          <w:b w:val="false"/>
          <w:i w:val="false"/>
          <w:color w:val="000000"/>
          <w:sz w:val="22"/>
        </w:rPr>
        <w:t>An insurer shall, within 30 days of the commissioner’s request, provide the commissioner with any of the information that is exempted from form and rate filing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7736C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 xml:space="preserve">; </w:t>
      </w:r>
      <w:r>
        <w:rPr>
          <w:rFonts w:ascii="Times New Roman" w:hAnsi="Times New Roman"/>
          <w:b/>
          <w:i w:val="false"/>
          <w:color w:val="000000"/>
          <w:sz w:val="16"/>
        </w:rPr>
        <w:t>ARC 8056C</w:t>
      </w:r>
      <w:r>
        <w:rPr>
          <w:rFonts w:ascii="Times New Roman" w:hAnsi="Times New Roman"/>
          <w:b w:val="false"/>
          <w:i w:val="false"/>
          <w:color w:val="000000"/>
          <w:sz w:val="16"/>
        </w:rPr>
        <w:t>, IAB 6/12/24,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2">
        <w:r>
          <w:rPr>
            <w:rStyle w:val="Hyperlink"/>
            <w:rFonts w:ascii="Times New Roman" w:hAnsi="Times New Roman"/>
            <w:b w:val="false"/>
            <w:i w:val="false"/>
            <w:color w:val="000000"/>
            <w:sz w:val="22"/>
          </w:rPr>
          <w:t>515F</w:t>
        </w:r>
      </w:hyperlink>
      <w:r>
        <w:rPr>
          <w:rFonts w:ascii="Times New Roman" w:hAnsi="Times New Roman"/>
          <w:b w:val="false"/>
          <w:i w:val="false"/>
          <w:color w:val="000000"/>
          <w:sz w:val="22"/>
        </w:rPr>
        <w:t xml:space="preserve"> and section </w:t>
      </w:r>
      <w:hyperlink r:id="rId23">
        <w:r>
          <w:rPr>
            <w:rStyle w:val="Hyperlink"/>
            <w:rFonts w:ascii="Times New Roman" w:hAnsi="Times New Roman"/>
            <w:b w:val="false"/>
            <w:i w:val="false"/>
            <w:color w:val="000000"/>
            <w:sz w:val="22"/>
          </w:rPr>
          <w:t>515.109</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191—20.12</w:t>
      </w:r>
      <w:r>
        <w:rPr>
          <w:rFonts w:ascii="Times New Roman" w:hAnsi="Times New Roman"/>
          <w:b w:val="false"/>
          <w:i w:val="false"/>
          <w:color w:val="000000"/>
          <w:sz w:val="22"/>
        </w:rPr>
        <w:t xml:space="preserve"> to </w:t>
      </w:r>
      <w:r>
        <w:rPr>
          <w:rFonts w:ascii="Times New Roman" w:hAnsi="Times New Roman"/>
          <w:b/>
          <w:i w:val="false"/>
          <w:color w:val="000000"/>
          <w:sz w:val="22"/>
        </w:rPr>
        <w:t>20.40</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IOWA FAIR PLAN ACT</w:t>
      </w:r>
    </w:p>
    <w:p>
      <w:pPr>
        <w:spacing w:before="0" w:after="0"/>
        <w:ind w:left="120"/>
        <w:jc w:val="both"/>
      </w:pPr>
      <w:r>
        <w:rPr>
          <w:rFonts w:ascii="Times New Roman" w:hAnsi="Times New Roman"/>
          <w:b/>
          <w:i w:val="false"/>
          <w:color w:val="000000"/>
          <w:sz w:val="22"/>
        </w:rPr>
        <w:t>191—20.41</w:t>
      </w:r>
      <w:r>
        <w:rPr>
          <w:rFonts w:ascii="Times New Roman" w:hAnsi="Times New Roman"/>
          <w:b/>
          <w:i w:val="false"/>
          <w:color w:val="000000"/>
          <w:sz w:val="22"/>
        </w:rPr>
        <w:t xml:space="preserve">(515,515F)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This division is intended to implement and interpret Iowa Code sections </w:t>
      </w:r>
      <w:hyperlink r:id="rId24">
        <w:r>
          <w:rPr>
            <w:rStyle w:val="Hyperlink"/>
            <w:rFonts w:ascii="Times New Roman" w:hAnsi="Times New Roman"/>
            <w:b w:val="false"/>
            <w:i w:val="false"/>
            <w:color w:val="000000"/>
            <w:sz w:val="22"/>
          </w:rPr>
          <w:t>515F.30 through 515F.38</w:t>
        </w:r>
      </w:hyperlink>
      <w:r>
        <w:rPr>
          <w:rFonts w:ascii="Times New Roman" w:hAnsi="Times New Roman"/>
          <w:b w:val="false"/>
          <w:i w:val="false"/>
          <w:color w:val="000000"/>
          <w:sz w:val="22"/>
        </w:rPr>
        <w:t xml:space="preserve"> for the purpose of establishing procedures and requirements for a mandatory risk-sharing facility for basic property insurance coverage. This division is also intended to encourage improvement of and reasonable loss prevention measures for properties located in Iowa and to further orderly community development.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7736C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191—20.42</w:t>
      </w:r>
      <w:r>
        <w:rPr>
          <w:rFonts w:ascii="Times New Roman" w:hAnsi="Times New Roman"/>
          <w:b/>
          <w:i w:val="false"/>
          <w:color w:val="000000"/>
          <w:sz w:val="22"/>
        </w:rPr>
        <w:t xml:space="preserve">(515,515F) </w:t>
      </w:r>
      <w:r>
        <w:rPr>
          <w:rFonts w:ascii="Times New Roman" w:hAnsi="Times New Roman"/>
          <w:b/>
          <w:i w:val="false"/>
          <w:color w:val="000000"/>
          <w:sz w:val="22"/>
        </w:rPr>
        <w:t xml:space="preserve">Scope. </w:t>
      </w:r>
      <w:r>
        <w:rPr>
          <w:rFonts w:ascii="Times New Roman" w:hAnsi="Times New Roman"/>
          <w:b w:val="false"/>
          <w:i w:val="false"/>
          <w:color w:val="000000"/>
          <w:sz w:val="22"/>
        </w:rPr>
        <w:t>This division shall apply to all insurers licensed to write property insurance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7736C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191—20.43</w:t>
      </w:r>
      <w:r>
        <w:rPr>
          <w:rFonts w:ascii="Times New Roman" w:hAnsi="Times New Roman"/>
          <w:b/>
          <w:i w:val="false"/>
          <w:color w:val="000000"/>
          <w:sz w:val="22"/>
        </w:rPr>
        <w:t xml:space="preserve">(515,515F)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 Iowa Code sections </w:t>
      </w:r>
      <w:hyperlink r:id="rId25">
        <w:r>
          <w:rPr>
            <w:rStyle w:val="Hyperlink"/>
            <w:rFonts w:ascii="Times New Roman" w:hAnsi="Times New Roman"/>
            <w:b w:val="false"/>
            <w:i w:val="false"/>
            <w:color w:val="000000"/>
            <w:sz w:val="22"/>
          </w:rPr>
          <w:t>514F.2</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515F.32</w:t>
        </w:r>
      </w:hyperlink>
      <w:r>
        <w:rPr>
          <w:rFonts w:ascii="Times New Roman" w:hAnsi="Times New Roman"/>
          <w:b w:val="false"/>
          <w:i w:val="false"/>
          <w:color w:val="000000"/>
          <w:sz w:val="22"/>
        </w:rPr>
        <w:t xml:space="preserve"> and rule </w:t>
      </w:r>
      <w:hyperlink r:id="rId27">
        <w:r>
          <w:rPr>
            <w:rStyle w:val="Hyperlink"/>
            <w:rFonts w:ascii="Times New Roman" w:hAnsi="Times New Roman"/>
            <w:b w:val="false"/>
            <w:i w:val="false"/>
            <w:color w:val="000000"/>
            <w:sz w:val="22"/>
          </w:rPr>
          <w:t>191—20.1</w:t>
        </w:r>
      </w:hyperlink>
      <w:r>
        <w:rPr>
          <w:rFonts w:ascii="Times New Roman" w:hAnsi="Times New Roman"/>
          <w:b w:val="false"/>
          <w:i w:val="false"/>
          <w:color w:val="000000"/>
          <w:sz w:val="22"/>
        </w:rPr>
        <w:t>(505,509,514A,515,515A,515F),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means a single building and its contents, or contiguous buildings and their contents, under one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“Manufacturing risks” </w:t>
      </w:r>
      <w:r>
        <w:rPr>
          <w:rFonts w:ascii="Times New Roman" w:hAnsi="Times New Roman"/>
          <w:b w:val="false"/>
          <w:i w:val="false"/>
          <w:color w:val="000000"/>
          <w:sz w:val="22"/>
        </w:rPr>
        <w:t>means those risks eligible to be written under the customary manufacturing business interruption policy forms approved by the commissioner. The following are not considered manufacturing risks: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Dry cleaning and laundering—Carpet, rug, furniture, or upholstery cleaning; diaper service or infants’ apparel laundries; dry cleaning; laundries; linen supply.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Installation, servicing and repair—Electrical equipment; electronic equipment; glazing; household furnishings and appliances; office machines; plumbing, heating and air conditioning; protective systems for premises, vaults and safes.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Laboratories—Blood banks; dental laboratories; medical or X-ray laboratories.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Duplicating or similar services—Blueprinting and photocopying services; bookbinding; electrotyping; engraving; letter service (mailing or addressing companies); linotype or hand composition; lithographing; photo engraving; photo finishing; photographers (commercial).</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Warehousing—Cold storage (locker establishments); cold storage warehouse; furniture or general merchandise warehouse.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Miscellaneous—Barber shops; beauty parlors; cemeteries; dog kennels; electroplating; equipment rental (not contractors’ equipment); film and tape rental; funeral directors; galvanizing, tinning, and detinning; radio broadcasting, commercial wireless and television broadcasting; taxidermists; telephone or telegraph companies; textiles (bleaching, dyeing, mercerizing or finishing of property of others); veterinarians and veterinary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“Motor vehicles” </w:t>
      </w:r>
      <w:r>
        <w:rPr>
          <w:rFonts w:ascii="Times New Roman" w:hAnsi="Times New Roman"/>
          <w:b w:val="false"/>
          <w:i w:val="false"/>
          <w:color w:val="000000"/>
          <w:sz w:val="22"/>
        </w:rPr>
        <w:t>means vehicles that are self-propelled.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“Weighted premiums written”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Gross direct premiums less return premiums, dividends paid or credited to policyholders, or the unused or unabsorbed portions of premium deposits, with respect to property in this state excluding premiums on risks insured under the Iowa FAIR Plan association, for basic property insurance, for homeowners multiple peril policies, for farm dwelling policies and for the basic property insurance premium components of all other multiple peril policies.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 addition, 100 percent of the premiums obtained for homeowners multiple peril policies shall be added to 100 percent of the premiums obtained for basic property insurance and the basic property insurance premium components of all other multiple peril policies. The basic year for the computation shall be the first preceding calendar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7736C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191—20.44</w:t>
      </w:r>
      <w:r>
        <w:rPr>
          <w:rFonts w:ascii="Times New Roman" w:hAnsi="Times New Roman"/>
          <w:b/>
          <w:i w:val="false"/>
          <w:color w:val="000000"/>
          <w:sz w:val="22"/>
        </w:rPr>
        <w:t xml:space="preserve">(515,515F) </w:t>
      </w:r>
      <w:r>
        <w:rPr>
          <w:rFonts w:ascii="Times New Roman" w:hAnsi="Times New Roman"/>
          <w:b/>
          <w:i w:val="false"/>
          <w:color w:val="000000"/>
          <w:sz w:val="22"/>
        </w:rPr>
        <w:t xml:space="preserve">Eligible risks. </w:t>
      </w:r>
      <w:r>
        <w:rPr>
          <w:rFonts w:ascii="Times New Roman" w:hAnsi="Times New Roman"/>
          <w:b w:val="false"/>
          <w:i w:val="false"/>
          <w:color w:val="000000"/>
          <w:sz w:val="22"/>
        </w:rPr>
        <w:t>All risks at a fixed location shall be eligible for inspection and considered for insurance under the Plan except motor vehicles, inland marine risks, and manufacturing risks as defined above.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7736C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191—20.45</w:t>
      </w:r>
      <w:r>
        <w:rPr>
          <w:rFonts w:ascii="Times New Roman" w:hAnsi="Times New Roman"/>
          <w:b/>
          <w:i w:val="false"/>
          <w:color w:val="000000"/>
          <w:sz w:val="22"/>
        </w:rPr>
        <w:t xml:space="preserve">(515,515F) </w:t>
      </w:r>
      <w:r>
        <w:rPr>
          <w:rFonts w:ascii="Times New Roman" w:hAnsi="Times New Roman"/>
          <w:b/>
          <w:i w:val="false"/>
          <w:color w:val="000000"/>
          <w:sz w:val="22"/>
        </w:rPr>
        <w:t xml:space="preserve">Membership. </w:t>
      </w:r>
      <w:r>
        <w:rPr>
          <w:rFonts w:ascii="Times New Roman" w:hAnsi="Times New Roman"/>
          <w:b w:val="false"/>
          <w:i w:val="false"/>
          <w:color w:val="000000"/>
          <w:sz w:val="22"/>
        </w:rPr>
        <w:t>Every insurer licensed to write one or more components of basic property insurance shall be considered a member of the Plan. Any other insurer may, upon application to and approval by the governing committee, become a member.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7736C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191—20.46</w:t>
      </w:r>
      <w:r>
        <w:rPr>
          <w:rFonts w:ascii="Times New Roman" w:hAnsi="Times New Roman"/>
          <w:b/>
          <w:i w:val="false"/>
          <w:color w:val="000000"/>
          <w:sz w:val="22"/>
        </w:rPr>
        <w:t xml:space="preserve">(515,515F)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20.46(1)</w:t>
      </w:r>
      <w:r>
        <w:rPr>
          <w:rFonts w:ascii="Times New Roman" w:hAnsi="Times New Roman"/>
          <w:b w:val="false"/>
          <w:i w:val="false"/>
          <w:color w:val="000000"/>
          <w:sz w:val="22"/>
        </w:rPr>
        <w:t> </w:t>
      </w:r>
      <w:r>
        <w:rPr>
          <w:rFonts w:ascii="Times New Roman" w:hAnsi="Times New Roman"/>
          <w:b w:val="false"/>
          <w:i w:val="false"/>
          <w:color w:val="000000"/>
          <w:sz w:val="22"/>
        </w:rPr>
        <w:t>The Plan shall be administered by the governing committee, subject to supervision of the commissioner, and operated by a manager appointed by the governing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20.46(2)</w:t>
      </w:r>
      <w:r>
        <w:rPr>
          <w:rFonts w:ascii="Times New Roman" w:hAnsi="Times New Roman"/>
          <w:b w:val="false"/>
          <w:i w:val="false"/>
          <w:color w:val="000000"/>
          <w:sz w:val="22"/>
        </w:rPr>
        <w:t> </w:t>
      </w:r>
      <w:r>
        <w:rPr>
          <w:rFonts w:ascii="Times New Roman" w:hAnsi="Times New Roman"/>
          <w:b w:val="false"/>
          <w:i w:val="false"/>
          <w:color w:val="000000"/>
          <w:sz w:val="22"/>
        </w:rPr>
        <w:t>The governing committee shall consist of seven members, each of whom shall serve for a period of one year or until a successor is elected or designated. Each member shall have one vote.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7736C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191—20.47</w:t>
      </w:r>
      <w:r>
        <w:rPr>
          <w:rFonts w:ascii="Times New Roman" w:hAnsi="Times New Roman"/>
          <w:b/>
          <w:i w:val="false"/>
          <w:color w:val="000000"/>
          <w:sz w:val="22"/>
        </w:rPr>
        <w:t xml:space="preserve">(515,515F) </w:t>
      </w:r>
      <w:r>
        <w:rPr>
          <w:rFonts w:ascii="Times New Roman" w:hAnsi="Times New Roman"/>
          <w:b/>
          <w:i w:val="false"/>
          <w:color w:val="000000"/>
          <w:sz w:val="22"/>
        </w:rPr>
        <w:t xml:space="preserve">Duties of the governing committee.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20.47(1)</w:t>
      </w:r>
      <w:r>
        <w:rPr>
          <w:rFonts w:ascii="Times New Roman" w:hAnsi="Times New Roman"/>
          <w:b w:val="false"/>
          <w:i w:val="false"/>
          <w:color w:val="000000"/>
          <w:sz w:val="22"/>
        </w:rPr>
        <w:t> </w:t>
      </w:r>
      <w:r>
        <w:rPr>
          <w:rFonts w:ascii="Times New Roman" w:hAnsi="Times New Roman"/>
          <w:b w:val="false"/>
          <w:i w:val="false"/>
          <w:color w:val="000000"/>
          <w:sz w:val="22"/>
        </w:rPr>
        <w:t>The governing committee shall meet as often as may be required to perform the general duties of the administration of the Plan, or at the call of the commissioner. Four members of the committee present or by proxy shall constitute a quorum. Members of the committee who choose to appoint a proxy shall give a written proxy to the person elected to act as proxy. The written proxy shall then be filed with the governing committee, thus ensuring the validity of the proxy’s actions as the governing committee performs its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20.47(2)</w:t>
      </w:r>
      <w:r>
        <w:rPr>
          <w:rFonts w:ascii="Times New Roman" w:hAnsi="Times New Roman"/>
          <w:b w:val="false"/>
          <w:i w:val="false"/>
          <w:color w:val="000000"/>
          <w:sz w:val="22"/>
        </w:rPr>
        <w:t> </w:t>
      </w:r>
      <w:r>
        <w:rPr>
          <w:rFonts w:ascii="Times New Roman" w:hAnsi="Times New Roman"/>
          <w:b w:val="false"/>
          <w:i w:val="false"/>
          <w:color w:val="000000"/>
          <w:sz w:val="22"/>
        </w:rPr>
        <w:t>The governing committee shall be empowered to appoint a manager, who shall serve at the pleasure of the committee, to budget expenses, levy assessments, disburse funds, and perform all other duties of the Plan. The adoption of or substantive changes in pension plans or employee benefit programs for the manager and staff shall be subject to approval of the governing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20.47(3)</w:t>
      </w:r>
      <w:r>
        <w:rPr>
          <w:rFonts w:ascii="Times New Roman" w:hAnsi="Times New Roman"/>
          <w:b w:val="false"/>
          <w:i w:val="false"/>
          <w:color w:val="000000"/>
          <w:sz w:val="22"/>
        </w:rPr>
        <w:t> </w:t>
      </w:r>
      <w:r>
        <w:rPr>
          <w:rFonts w:ascii="Times New Roman" w:hAnsi="Times New Roman"/>
          <w:b w:val="false"/>
          <w:i w:val="false"/>
          <w:color w:val="000000"/>
          <w:sz w:val="22"/>
        </w:rPr>
        <w:t>The governing committee may designate an independent inspection firm to make inspections as required under the Plan and to perform such other duties as may be authorized by the governing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20.47(4)</w:t>
      </w:r>
      <w:r>
        <w:rPr>
          <w:rFonts w:ascii="Times New Roman" w:hAnsi="Times New Roman"/>
          <w:b w:val="false"/>
          <w:i w:val="false"/>
          <w:color w:val="000000"/>
          <w:sz w:val="22"/>
        </w:rPr>
        <w:t> </w:t>
      </w:r>
      <w:r>
        <w:rPr>
          <w:rFonts w:ascii="Times New Roman" w:hAnsi="Times New Roman"/>
          <w:b w:val="false"/>
          <w:i w:val="false"/>
          <w:color w:val="000000"/>
          <w:sz w:val="22"/>
        </w:rPr>
        <w:t>The governing committee shall submit to the commissioner periodic reports setting forth information as the commissioner may request. On or before April 1 of each year, the governing committee shall submit a report summarizing any new programs or reforms in operation undertaken during the preceding calendar year in order to comply with any new legislation, regulations or directives affecting the Plan. This report shall contain a statistical tabulation on business written in accordance with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20.47(5)</w:t>
      </w:r>
      <w:r>
        <w:rPr>
          <w:rFonts w:ascii="Times New Roman" w:hAnsi="Times New Roman"/>
          <w:b w:val="false"/>
          <w:i w:val="false"/>
          <w:color w:val="000000"/>
          <w:sz w:val="22"/>
        </w:rPr>
        <w:t> </w:t>
      </w:r>
      <w:r>
        <w:rPr>
          <w:rFonts w:ascii="Times New Roman" w:hAnsi="Times New Roman"/>
          <w:b w:val="false"/>
          <w:i w:val="false"/>
          <w:color w:val="000000"/>
          <w:sz w:val="22"/>
        </w:rPr>
        <w:t>The governing committee shall separately code all policies written by the Plan so that appropriate records may be compiled for purposes of performing loss prevention and other studies of the operation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20.47(6)</w:t>
      </w:r>
      <w:r>
        <w:rPr>
          <w:rFonts w:ascii="Times New Roman" w:hAnsi="Times New Roman"/>
          <w:b w:val="false"/>
          <w:i w:val="false"/>
          <w:color w:val="000000"/>
          <w:sz w:val="22"/>
        </w:rPr>
        <w:t> </w:t>
      </w:r>
      <w:r>
        <w:rPr>
          <w:rFonts w:ascii="Times New Roman" w:hAnsi="Times New Roman"/>
          <w:b w:val="false"/>
          <w:i w:val="false"/>
          <w:color w:val="000000"/>
          <w:sz w:val="22"/>
        </w:rPr>
        <w:t>The governing committee shall authorize the manager to file rates, surcharge schedules and forms for prior approval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20.47(7)</w:t>
      </w:r>
      <w:r>
        <w:rPr>
          <w:rFonts w:ascii="Times New Roman" w:hAnsi="Times New Roman"/>
          <w:b w:val="false"/>
          <w:i w:val="false"/>
          <w:color w:val="000000"/>
          <w:sz w:val="22"/>
        </w:rPr>
        <w:t> </w:t>
      </w:r>
      <w:r>
        <w:rPr>
          <w:rFonts w:ascii="Times New Roman" w:hAnsi="Times New Roman"/>
          <w:b w:val="false"/>
          <w:i w:val="false"/>
          <w:color w:val="000000"/>
          <w:sz w:val="22"/>
        </w:rPr>
        <w:t>The governing committee shall prepare such agreements and contracts as may be necessary for the execution of this division consistent with its provisions.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7736C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191—20.48</w:t>
      </w:r>
      <w:r>
        <w:rPr>
          <w:rFonts w:ascii="Times New Roman" w:hAnsi="Times New Roman"/>
          <w:b/>
          <w:i w:val="false"/>
          <w:color w:val="000000"/>
          <w:sz w:val="22"/>
        </w:rPr>
        <w:t xml:space="preserve">(515,515F) </w:t>
      </w:r>
      <w:r>
        <w:rPr>
          <w:rFonts w:ascii="Times New Roman" w:hAnsi="Times New Roman"/>
          <w:b/>
          <w:i w:val="false"/>
          <w:color w:val="000000"/>
          <w:sz w:val="22"/>
        </w:rPr>
        <w:t xml:space="preserve">Annual and special 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20.48(1)</w:t>
      </w:r>
      <w:r>
        <w:rPr>
          <w:rFonts w:ascii="Times New Roman" w:hAnsi="Times New Roman"/>
          <w:b w:val="false"/>
          <w:i w:val="false"/>
          <w:color w:val="000000"/>
          <w:sz w:val="22"/>
        </w:rPr>
        <w:t> </w:t>
      </w:r>
      <w:r>
        <w:rPr>
          <w:rFonts w:ascii="Times New Roman" w:hAnsi="Times New Roman"/>
          <w:b w:val="false"/>
          <w:i w:val="false"/>
          <w:color w:val="000000"/>
          <w:sz w:val="22"/>
        </w:rPr>
        <w:t>There shall be an annual meeting of the insurers on a date fixed by the governing committee at which time members may be chosen.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20.48(2)</w:t>
      </w:r>
      <w:r>
        <w:rPr>
          <w:rFonts w:ascii="Times New Roman" w:hAnsi="Times New Roman"/>
          <w:b w:val="false"/>
          <w:i w:val="false"/>
          <w:color w:val="000000"/>
          <w:sz w:val="22"/>
        </w:rPr>
        <w:t> </w:t>
      </w:r>
      <w:r>
        <w:rPr>
          <w:rFonts w:ascii="Times New Roman" w:hAnsi="Times New Roman"/>
          <w:b w:val="false"/>
          <w:i w:val="false"/>
          <w:color w:val="000000"/>
          <w:sz w:val="22"/>
        </w:rPr>
        <w:t>A special meeting shall be called by the governing committee within 40 days after receipt of written request from any ten insurers, not more than one of which may be in a group under the same management or ownership.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20.48(3)</w:t>
      </w:r>
      <w:r>
        <w:rPr>
          <w:rFonts w:ascii="Times New Roman" w:hAnsi="Times New Roman"/>
          <w:b w:val="false"/>
          <w:i w:val="false"/>
          <w:color w:val="000000"/>
          <w:sz w:val="22"/>
        </w:rPr>
        <w:t> </w:t>
      </w:r>
      <w:r>
        <w:rPr>
          <w:rFonts w:ascii="Times New Roman" w:hAnsi="Times New Roman"/>
          <w:b w:val="false"/>
          <w:i w:val="false"/>
          <w:color w:val="000000"/>
          <w:sz w:val="22"/>
        </w:rPr>
        <w:t>The time and place of all meetings shall be reasonable. Twenty days’ notice of an annual or special meeting shall be given in writing by the governing committee to all insurers defined above. Four members present in person or by proxy shall constitute a quorum. Voting by proxy shall be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20.48(4)</w:t>
      </w:r>
      <w:r>
        <w:rPr>
          <w:rFonts w:ascii="Times New Roman" w:hAnsi="Times New Roman"/>
          <w:b w:val="false"/>
          <w:i w:val="false"/>
          <w:color w:val="000000"/>
          <w:sz w:val="22"/>
        </w:rPr>
        <w:t> </w:t>
      </w:r>
      <w:r>
        <w:rPr>
          <w:rFonts w:ascii="Times New Roman" w:hAnsi="Times New Roman"/>
          <w:b w:val="false"/>
          <w:i w:val="false"/>
          <w:color w:val="000000"/>
          <w:sz w:val="22"/>
        </w:rPr>
        <w:t>Any matter not inconsistent with the law or this division may be proposed and voted upon at any special meeting of the committee. Notice of any such proposal shall be mailed to each insurer not less than 20 days prior to the final date fixed by the committee for voting thereon.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7736C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191—20.49</w:t>
      </w:r>
      <w:r>
        <w:rPr>
          <w:rFonts w:ascii="Times New Roman" w:hAnsi="Times New Roman"/>
          <w:b/>
          <w:i w:val="false"/>
          <w:color w:val="000000"/>
          <w:sz w:val="22"/>
        </w:rPr>
        <w:t xml:space="preserve">(515,515F) </w:t>
      </w:r>
      <w:r>
        <w:rPr>
          <w:rFonts w:ascii="Times New Roman" w:hAnsi="Times New Roman"/>
          <w:b/>
          <w:i w:val="false"/>
          <w:color w:val="000000"/>
          <w:sz w:val="22"/>
        </w:rPr>
        <w:t xml:space="preserve">Application for insurance.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20.49(1)</w:t>
      </w:r>
      <w:r>
        <w:rPr>
          <w:rFonts w:ascii="Times New Roman" w:hAnsi="Times New Roman"/>
          <w:b w:val="false"/>
          <w:i w:val="false"/>
          <w:color w:val="000000"/>
          <w:sz w:val="22"/>
        </w:rPr>
        <w:t> </w:t>
      </w:r>
      <w:r>
        <w:rPr>
          <w:rFonts w:ascii="Times New Roman" w:hAnsi="Times New Roman"/>
          <w:b w:val="false"/>
          <w:i w:val="false"/>
          <w:color w:val="000000"/>
          <w:sz w:val="22"/>
        </w:rPr>
        <w:t>Any person who has an insurable interest in an eligible risk in property permitted to be written in the Plan and who has received within the last six months a notice of rejection, nonrenewal or cancellation from an insurer may apply for insurance by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20.49(2)</w:t>
      </w:r>
      <w:r>
        <w:rPr>
          <w:rFonts w:ascii="Times New Roman" w:hAnsi="Times New Roman"/>
          <w:b w:val="false"/>
          <w:i w:val="false"/>
          <w:color w:val="000000"/>
          <w:sz w:val="22"/>
        </w:rPr>
        <w:t> </w:t>
      </w:r>
      <w:r>
        <w:rPr>
          <w:rFonts w:ascii="Times New Roman" w:hAnsi="Times New Roman"/>
          <w:b w:val="false"/>
          <w:i w:val="false"/>
          <w:color w:val="000000"/>
          <w:sz w:val="22"/>
        </w:rPr>
        <w:t>An inspection need not be made if the governing committee determines that insurance can be provided for specified classes of risks on the basis of representations of the applicant or insurance producer.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20.49(3)</w:t>
      </w:r>
      <w:r>
        <w:rPr>
          <w:rFonts w:ascii="Times New Roman" w:hAnsi="Times New Roman"/>
          <w:b w:val="false"/>
          <w:i w:val="false"/>
          <w:color w:val="000000"/>
          <w:sz w:val="22"/>
        </w:rPr>
        <w:t> </w:t>
      </w:r>
      <w:r>
        <w:rPr>
          <w:rFonts w:ascii="Times New Roman" w:hAnsi="Times New Roman"/>
          <w:b w:val="false"/>
          <w:i w:val="false"/>
          <w:color w:val="000000"/>
          <w:sz w:val="22"/>
        </w:rPr>
        <w:t>The Plan may bind coverage. The Plan may wait until receipt of the inspection report or receipt of additional underwriting information before determining whether to bind coverage. Coverage will be bound by the Plan by acknowledgement to the producer.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7736C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191—20.50</w:t>
      </w:r>
      <w:r>
        <w:rPr>
          <w:rFonts w:ascii="Times New Roman" w:hAnsi="Times New Roman"/>
          <w:b/>
          <w:i w:val="false"/>
          <w:color w:val="000000"/>
          <w:sz w:val="22"/>
        </w:rPr>
        <w:t xml:space="preserve">(515,515F) </w:t>
      </w:r>
      <w:r>
        <w:rPr>
          <w:rFonts w:ascii="Times New Roman" w:hAnsi="Times New Roman"/>
          <w:b/>
          <w:i w:val="false"/>
          <w:color w:val="000000"/>
          <w:sz w:val="22"/>
        </w:rPr>
        <w:t xml:space="preserve">Inspection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20.50(1)</w:t>
      </w:r>
      <w:r>
        <w:rPr>
          <w:rFonts w:ascii="Times New Roman" w:hAnsi="Times New Roman"/>
          <w:b w:val="false"/>
          <w:i w:val="false"/>
          <w:color w:val="000000"/>
          <w:sz w:val="22"/>
        </w:rPr>
        <w:t> </w:t>
      </w:r>
      <w:r>
        <w:rPr>
          <w:rFonts w:ascii="Times New Roman" w:hAnsi="Times New Roman"/>
          <w:b w:val="false"/>
          <w:i w:val="false"/>
          <w:color w:val="000000"/>
          <w:sz w:val="22"/>
        </w:rPr>
        <w:t>The inspection by the Plan shall be without cost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20.50(2)</w:t>
      </w:r>
      <w:r>
        <w:rPr>
          <w:rFonts w:ascii="Times New Roman" w:hAnsi="Times New Roman"/>
          <w:b w:val="false"/>
          <w:i w:val="false"/>
          <w:color w:val="000000"/>
          <w:sz w:val="22"/>
        </w:rPr>
        <w:t> </w:t>
      </w:r>
      <w:r>
        <w:rPr>
          <w:rFonts w:ascii="Times New Roman" w:hAnsi="Times New Roman"/>
          <w:b w:val="false"/>
          <w:i w:val="false"/>
          <w:color w:val="000000"/>
          <w:sz w:val="22"/>
        </w:rPr>
        <w:t>The manner and scope of the inspection shall be prescribed by the Plan with the approval of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20.50(3)</w:t>
      </w:r>
      <w:r>
        <w:rPr>
          <w:rFonts w:ascii="Times New Roman" w:hAnsi="Times New Roman"/>
          <w:b w:val="false"/>
          <w:i w:val="false"/>
          <w:color w:val="000000"/>
          <w:sz w:val="22"/>
        </w:rPr>
        <w:t> </w:t>
      </w:r>
      <w:r>
        <w:rPr>
          <w:rFonts w:ascii="Times New Roman" w:hAnsi="Times New Roman"/>
          <w:b w:val="false"/>
          <w:i w:val="false"/>
          <w:color w:val="000000"/>
          <w:sz w:val="22"/>
        </w:rPr>
        <w:t>An inspection report shall be made for each property inspected covering pertinent structural and occupancy features as well as the general condition of the building and surrounding structures. Representative photographs may be taken during the inspection to indicate the pertinent features of building, construction, maintenance, occupancy, and surrounding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20.50(4)</w:t>
      </w:r>
      <w:r>
        <w:rPr>
          <w:rFonts w:ascii="Times New Roman" w:hAnsi="Times New Roman"/>
          <w:b w:val="false"/>
          <w:i w:val="false"/>
          <w:color w:val="000000"/>
          <w:sz w:val="22"/>
        </w:rPr>
        <w:t> </w:t>
      </w:r>
      <w:r>
        <w:rPr>
          <w:rFonts w:ascii="Times New Roman" w:hAnsi="Times New Roman"/>
          <w:b w:val="false"/>
          <w:i w:val="false"/>
          <w:color w:val="000000"/>
          <w:sz w:val="22"/>
        </w:rPr>
        <w:t>After the inspection, a copy of the completed inspection report and any relevant photographs shall be kept on file by the Plan. The report shall include a description of any deficient physical condition changes proposed by the inspector. A copy of the inspection report shall be made available to the applicant or producer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7736C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191—20.51</w:t>
      </w:r>
      <w:r>
        <w:rPr>
          <w:rFonts w:ascii="Times New Roman" w:hAnsi="Times New Roman"/>
          <w:b/>
          <w:i w:val="false"/>
          <w:color w:val="000000"/>
          <w:sz w:val="22"/>
        </w:rPr>
        <w:t xml:space="preserve">(515,515F) </w:t>
      </w:r>
      <w:r>
        <w:rPr>
          <w:rFonts w:ascii="Times New Roman" w:hAnsi="Times New Roman"/>
          <w:b/>
          <w:i w:val="false"/>
          <w:color w:val="000000"/>
          <w:sz w:val="22"/>
        </w:rPr>
        <w:t xml:space="preserve">Procedure after inspection and receipt of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20.51(1)</w:t>
      </w:r>
      <w:r>
        <w:rPr>
          <w:rFonts w:ascii="Times New Roman" w:hAnsi="Times New Roman"/>
          <w:b w:val="false"/>
          <w:i w:val="false"/>
          <w:color w:val="000000"/>
          <w:sz w:val="22"/>
        </w:rPr>
        <w:t> </w:t>
      </w:r>
      <w:r>
        <w:rPr>
          <w:rFonts w:ascii="Times New Roman" w:hAnsi="Times New Roman"/>
          <w:b w:val="false"/>
          <w:i w:val="false"/>
          <w:color w:val="000000"/>
          <w:sz w:val="22"/>
        </w:rPr>
        <w:t>After receipt of the application, the inspection report, and any additional underwriting information requested from the applicant, the Plan shall within five business days complete and send to the applicant an action report advising the applicant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the risk is acceptable. If the inspection reveals substandard conditions, appropriate charges may be imposed, but the report shall specify the improvements necessary for removal of each such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That the risk is declined unless reasonable improvements noted in the action report are made by the applicant and confirmed by reinspection.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That the risk is declined because the risk fails to meet reasonable underwriting standards as set forth in rule </w:t>
      </w:r>
      <w:hyperlink r:id="rId28">
        <w:r>
          <w:rPr>
            <w:rStyle w:val="Hyperlink"/>
            <w:rFonts w:ascii="Times New Roman" w:hAnsi="Times New Roman"/>
            <w:b w:val="false"/>
            <w:i w:val="false"/>
            <w:color w:val="000000"/>
            <w:sz w:val="22"/>
          </w:rPr>
          <w:t>191—20.52</w:t>
        </w:r>
      </w:hyperlink>
      <w:r>
        <w:rPr>
          <w:rFonts w:ascii="Times New Roman" w:hAnsi="Times New Roman"/>
          <w:b w:val="false"/>
          <w:i w:val="false"/>
          <w:color w:val="000000"/>
          <w:sz w:val="22"/>
        </w:rPr>
        <w:t xml:space="preserve">(515,515F). Reasonable underwriting standards as set forth in rule </w:t>
      </w:r>
      <w:hyperlink r:id="rId29">
        <w:r>
          <w:rPr>
            <w:rStyle w:val="Hyperlink"/>
            <w:rFonts w:ascii="Times New Roman" w:hAnsi="Times New Roman"/>
            <w:b w:val="false"/>
            <w:i w:val="false"/>
            <w:color w:val="000000"/>
            <w:sz w:val="22"/>
          </w:rPr>
          <w:t>191—20.52</w:t>
        </w:r>
      </w:hyperlink>
      <w:r>
        <w:rPr>
          <w:rFonts w:ascii="Times New Roman" w:hAnsi="Times New Roman"/>
          <w:b w:val="false"/>
          <w:i w:val="false"/>
          <w:color w:val="000000"/>
          <w:sz w:val="22"/>
        </w:rPr>
        <w:t>(515,515F) shall not include neighborhood or area location or any environment hazard beyond the control of the property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20.51(2)</w:t>
      </w:r>
      <w:r>
        <w:rPr>
          <w:rFonts w:ascii="Times New Roman" w:hAnsi="Times New Roman"/>
          <w:b w:val="false"/>
          <w:i w:val="false"/>
          <w:color w:val="000000"/>
          <w:sz w:val="22"/>
        </w:rPr>
        <w:t> </w:t>
      </w:r>
      <w:r>
        <w:rPr>
          <w:rFonts w:ascii="Times New Roman" w:hAnsi="Times New Roman"/>
          <w:b w:val="false"/>
          <w:i w:val="false"/>
          <w:color w:val="000000"/>
          <w:sz w:val="22"/>
        </w:rPr>
        <w:t>If the risk is accepted, the action report shall advise the applicant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of coverage the Plan agrees to write.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coverage the Plan agrees to write if specified improvements are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of coverage the Plan agrees to write only if a large or special deductible is agreed to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20.51(3)</w:t>
      </w:r>
      <w:r>
        <w:rPr>
          <w:rFonts w:ascii="Times New Roman" w:hAnsi="Times New Roman"/>
          <w:b w:val="false"/>
          <w:i w:val="false"/>
          <w:color w:val="000000"/>
          <w:sz w:val="22"/>
        </w:rPr>
        <w:t> </w:t>
      </w:r>
      <w:r>
        <w:rPr>
          <w:rFonts w:ascii="Times New Roman" w:hAnsi="Times New Roman"/>
          <w:b w:val="false"/>
          <w:i w:val="false"/>
          <w:color w:val="000000"/>
          <w:sz w:val="22"/>
        </w:rPr>
        <w:t>If the risk is accepted, the Plan, upon receipt of the premium, shall deliver the policy to the applicant or to the licensed producer designated by the applicant for delivery to the applicant. The Plan shall remit the commissions to the licensed producer designated by the applicant.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7736C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191—20.52</w:t>
      </w:r>
      <w:r>
        <w:rPr>
          <w:rFonts w:ascii="Times New Roman" w:hAnsi="Times New Roman"/>
          <w:b/>
          <w:i w:val="false"/>
          <w:color w:val="000000"/>
          <w:sz w:val="22"/>
        </w:rPr>
        <w:t xml:space="preserve">(515,515F) </w:t>
      </w:r>
      <w:r>
        <w:rPr>
          <w:rFonts w:ascii="Times New Roman" w:hAnsi="Times New Roman"/>
          <w:b/>
          <w:i w:val="false"/>
          <w:color w:val="000000"/>
          <w:sz w:val="22"/>
        </w:rPr>
        <w:t xml:space="preserve">Reasonable underwriting standards for property coverage.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20.52(1)</w:t>
      </w:r>
      <w:r>
        <w:rPr>
          <w:rFonts w:ascii="Times New Roman" w:hAnsi="Times New Roman"/>
          <w:b w:val="false"/>
          <w:i w:val="false"/>
          <w:color w:val="000000"/>
          <w:sz w:val="22"/>
        </w:rPr>
        <w:t> </w:t>
      </w:r>
      <w:r>
        <w:rPr>
          <w:rFonts w:ascii="Times New Roman" w:hAnsi="Times New Roman"/>
          <w:b w:val="false"/>
          <w:i w:val="false"/>
          <w:color w:val="000000"/>
          <w:sz w:val="22"/>
        </w:rPr>
        <w:t>The following characteristics may be used in determining whether a risk is acceptable for property coverage. Where there is more than one cause for declination, all causes shall be listed and complied with before the property may be accepted for insurance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Physical condition of property; however, the mere fact that a property does not satisfy all current building code specifications will not, of itself, suffice as a reason for declination.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property’s present use as extended vacancy or extended unoccupancy of the property for 60 consecutive days. Properties that are vacant or unoccupied for more than 60 days may be insured while rehabilitation or reconstruction work is actively in process, meaning that the insured or owner should make monthly progress in order to complete the rehabilitation or reconstruction within a one-year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specific characteristics of ownership, condition, occupancy or maintenance that violate the law and that result in substantial increased exposure to loss. Any circumstance considered under this paragraph must relate to the peril insured against.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Physical condition of buildings that results in an outstanding order to vacate, in an outstanding demolition order or in being declared unsafe in accordance with the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One or more of the conditions for nonrenewal as listed in rule </w:t>
      </w:r>
      <w:hyperlink r:id="rId30">
        <w:r>
          <w:rPr>
            <w:rStyle w:val="Hyperlink"/>
            <w:rFonts w:ascii="Times New Roman" w:hAnsi="Times New Roman"/>
            <w:b w:val="false"/>
            <w:i w:val="false"/>
            <w:color w:val="000000"/>
            <w:sz w:val="22"/>
          </w:rPr>
          <w:t>191—20.54</w:t>
        </w:r>
      </w:hyperlink>
      <w:r>
        <w:rPr>
          <w:rFonts w:ascii="Times New Roman" w:hAnsi="Times New Roman"/>
          <w:b w:val="false"/>
          <w:i w:val="false"/>
          <w:color w:val="000000"/>
          <w:sz w:val="22"/>
        </w:rPr>
        <w:t>(515,515F) currently exist. The Plan shall upon notice that conditions at the buildings have changed consider a new application for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Previous loss history or matters of public record concerning the applicant or any person defined as an insured under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other guidelines that have been approved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7736C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191—20.53</w:t>
      </w:r>
      <w:r>
        <w:rPr>
          <w:rFonts w:ascii="Times New Roman" w:hAnsi="Times New Roman"/>
          <w:b/>
          <w:i w:val="false"/>
          <w:color w:val="000000"/>
          <w:sz w:val="22"/>
        </w:rPr>
        <w:t xml:space="preserve">(515,515F) </w:t>
      </w:r>
      <w:r>
        <w:rPr>
          <w:rFonts w:ascii="Times New Roman" w:hAnsi="Times New Roman"/>
          <w:b/>
          <w:i w:val="false"/>
          <w:color w:val="000000"/>
          <w:sz w:val="22"/>
        </w:rPr>
        <w:t xml:space="preserve">Reasonable underwriting standards for liability coverage.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20.53(1)</w:t>
      </w:r>
      <w:r>
        <w:rPr>
          <w:rFonts w:ascii="Times New Roman" w:hAnsi="Times New Roman"/>
          <w:b w:val="false"/>
          <w:i w:val="false"/>
          <w:color w:val="000000"/>
          <w:sz w:val="22"/>
        </w:rPr>
        <w:t> </w:t>
      </w:r>
      <w:r>
        <w:rPr>
          <w:rFonts w:ascii="Times New Roman" w:hAnsi="Times New Roman"/>
          <w:b w:val="false"/>
          <w:i w:val="false"/>
          <w:color w:val="000000"/>
          <w:sz w:val="22"/>
        </w:rPr>
        <w:t>The following characteristics may be used in determining whether a risk is acceptable for liability insurance on homeowner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Broken, cracked, uneven or otherwise faulty steps, porches, decks, sidewalks, patios and similar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Downspouts or drains that discharge onto sidewalks or driveways.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Unsafe conditions including inadequate lighting of stairways.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Animals known to be vicious or animals that have caused a liability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Swimming pools or private ponds not fenced in accordance with local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Unsafe, or the absence of, handrails.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Junk cars, empty refrigerators, trampolines or other potentially dangerous objects in the yard that are an attraction to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Previous loss history or matters of public record concerning the applicant or any person defined as an insured under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Any other guidelines that have been approved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20.53(2)</w:t>
      </w:r>
      <w:r>
        <w:rPr>
          <w:rFonts w:ascii="Times New Roman" w:hAnsi="Times New Roman"/>
          <w:b w:val="false"/>
          <w:i w:val="false"/>
          <w:color w:val="000000"/>
          <w:sz w:val="22"/>
        </w:rPr>
        <w:t> </w:t>
      </w:r>
      <w:r>
        <w:rPr>
          <w:rFonts w:ascii="Times New Roman" w:hAnsi="Times New Roman"/>
          <w:b w:val="false"/>
          <w:i w:val="false"/>
          <w:color w:val="000000"/>
          <w:sz w:val="22"/>
        </w:rPr>
        <w:t>Liability insurance shall only be provided as contained in the Iowa FAIR Plan homeowners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20.53(3)</w:t>
      </w:r>
      <w:r>
        <w:rPr>
          <w:rFonts w:ascii="Times New Roman" w:hAnsi="Times New Roman"/>
          <w:b w:val="false"/>
          <w:i w:val="false"/>
          <w:color w:val="000000"/>
          <w:sz w:val="22"/>
        </w:rPr>
        <w:t> </w:t>
      </w:r>
      <w:r>
        <w:rPr>
          <w:rFonts w:ascii="Times New Roman" w:hAnsi="Times New Roman"/>
          <w:b w:val="false"/>
          <w:i w:val="false"/>
          <w:color w:val="000000"/>
          <w:sz w:val="22"/>
        </w:rPr>
        <w:t xml:space="preserve">Liability insurance shall not be provided for risks with any of the deficiencies set forth in paragraphs </w:t>
      </w:r>
      <w:hyperlink r:id="rId31">
        <w:r>
          <w:rPr>
            <w:rStyle w:val="Hyperlink"/>
            <w:rFonts w:ascii="Times New Roman" w:hAnsi="Times New Roman"/>
            <w:b w:val="false"/>
            <w:i w:val="false"/>
            <w:color w:val="000000"/>
            <w:sz w:val="22"/>
          </w:rPr>
          <w:t>20.53(1)</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“g,”</w:t>
        </w:r>
      </w:hyperlink>
      <w:r>
        <w:rPr>
          <w:rFonts w:ascii="Times New Roman" w:hAnsi="Times New Roman"/>
          <w:b w:val="false"/>
          <w:i w:val="false"/>
          <w:color w:val="000000"/>
          <w:sz w:val="22"/>
        </w:rPr>
        <w:t xml:space="preserve"> as disclosed by the application or inspection, until the deficiencies have been corrected.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7736C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191—20.54</w:t>
      </w:r>
      <w:r>
        <w:rPr>
          <w:rFonts w:ascii="Times New Roman" w:hAnsi="Times New Roman"/>
          <w:b/>
          <w:i w:val="false"/>
          <w:color w:val="000000"/>
          <w:sz w:val="22"/>
        </w:rPr>
        <w:t xml:space="preserve">(515,515F) </w:t>
      </w:r>
      <w:r>
        <w:rPr>
          <w:rFonts w:ascii="Times New Roman" w:hAnsi="Times New Roman"/>
          <w:b/>
          <w:i w:val="false"/>
          <w:color w:val="000000"/>
          <w:sz w:val="22"/>
        </w:rPr>
        <w:t xml:space="preserve">Cancellation; nonrenewal and limitations; review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20.54(1)</w:t>
      </w:r>
      <w:r>
        <w:rPr>
          <w:rFonts w:ascii="Times New Roman" w:hAnsi="Times New Roman"/>
          <w:b w:val="false"/>
          <w:i w:val="false"/>
          <w:color w:val="000000"/>
          <w:sz w:val="22"/>
        </w:rPr>
        <w:t> </w:t>
      </w:r>
      <w:r>
        <w:rPr>
          <w:rFonts w:ascii="Times New Roman" w:hAnsi="Times New Roman"/>
          <w:b w:val="false"/>
          <w:i w:val="false"/>
          <w:color w:val="000000"/>
          <w:sz w:val="22"/>
        </w:rPr>
        <w:t>The Plan shall not cancel or refuse to renew a policy issued by the Plan except for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Facts as confirmed by inspection or investigation that would have been grounds for nonacceptance of the risk by the Plan had they been known to the Plan at the time of acceptance.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Changes in the physical condition of the property or other changed conditions as confirmed by inspection or investigation that make the risk uninsurable pursuant to paragraph </w:t>
      </w:r>
      <w:hyperlink r:id="rId32">
        <w:r>
          <w:rPr>
            <w:rStyle w:val="Hyperlink"/>
            <w:rFonts w:ascii="Times New Roman" w:hAnsi="Times New Roman"/>
            <w:b w:val="false"/>
            <w:i w:val="false"/>
            <w:color w:val="000000"/>
            <w:sz w:val="22"/>
          </w:rPr>
          <w:t>20.54(1)</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Nonpayment of premiums.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 least 65 percent of the rental units in the building are unoccupied, and the insured has not received prior approval from the Plan of a rehabilitation program that necessitates a high degree of unoccupancy.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Unrepaired damage exists and the insured has stated that repairs will not be made, or such time has elapsed as clearly indicates that the damage will not be repaired.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After a loss, permanent repairs have not been commenced within 60 days following payment of the claim, unless there are known to be extenuating circumstances. The 60-day period starts upon acceptance of payment of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There is good cause to believe, based on reliable information, that the building will be burned for the purpose of collecting the insurance on the property. The removal of damaged salvageable items, such as normally permanent fixtures, from the building shall be considered under this paragraph when the insured can provide no reasonable explanation for such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named insured or loss payee or other person having a financial interest in the property being convicted of the crime of arson or a crime involving a purpose to defraud an insurance company. The fact that an appeal has been entered shall not negate the use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property has been subject to more than two losses, each loss amounting to at least $500 or 1 percent of the insurance in force, whichever is greater, in the immediately preceding 12-month period, or more than three such losses in the immediately preceding 24-month period, provided that the cause of such losses is due to the conditions that are the responsibility of the owner named insured or due to the actions of any person defined as an insured under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Material misrepresentation in any statement to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On homeowners policies, excessive theft or liability losses.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Plan shall terminate all insurance contracts in accordance with Iowa Code sections </w:t>
      </w:r>
      <w:hyperlink r:id="rId33">
        <w:r>
          <w:rPr>
            <w:rStyle w:val="Hyperlink"/>
            <w:rFonts w:ascii="Times New Roman" w:hAnsi="Times New Roman"/>
            <w:b w:val="false"/>
            <w:i w:val="false"/>
            <w:color w:val="000000"/>
            <w:sz w:val="22"/>
          </w:rPr>
          <w:t>515.125</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515.127</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515.128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20.54(3)</w:t>
      </w:r>
      <w:r>
        <w:rPr>
          <w:rFonts w:ascii="Times New Roman" w:hAnsi="Times New Roman"/>
          <w:b w:val="false"/>
          <w:i w:val="false"/>
          <w:color w:val="000000"/>
          <w:sz w:val="22"/>
        </w:rPr>
        <w:t> </w:t>
      </w:r>
      <w:r>
        <w:rPr>
          <w:rFonts w:ascii="Times New Roman" w:hAnsi="Times New Roman"/>
          <w:b w:val="false"/>
          <w:i w:val="false"/>
          <w:color w:val="000000"/>
          <w:sz w:val="22"/>
        </w:rPr>
        <w:t>At the completion of 36 months of coverage and prior to the completion of 48 months, each risk shall be reviewed for its eligibility for coverage in the voluntary market. The risk shall be submitted by the Plan to the producer of record, if any, for a search of the voluntary market. If the producer resubmits the risk to the Plan, the risk must be resubmitted with a new application and a written statement from the producer that a search of the voluntary market was performed.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7736C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191—20.55</w:t>
      </w:r>
      <w:r>
        <w:rPr>
          <w:rFonts w:ascii="Times New Roman" w:hAnsi="Times New Roman"/>
          <w:b/>
          <w:i w:val="false"/>
          <w:color w:val="000000"/>
          <w:sz w:val="22"/>
        </w:rPr>
        <w:t xml:space="preserve">(515,515F) </w:t>
      </w:r>
      <w:r>
        <w:rPr>
          <w:rFonts w:ascii="Times New Roman" w:hAnsi="Times New Roman"/>
          <w:b/>
          <w:i w:val="false"/>
          <w:color w:val="000000"/>
          <w:sz w:val="22"/>
        </w:rPr>
        <w:t xml:space="preserve">Assessments.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20.55(1)</w:t>
      </w:r>
      <w:r>
        <w:rPr>
          <w:rFonts w:ascii="Times New Roman" w:hAnsi="Times New Roman"/>
          <w:b w:val="false"/>
          <w:i w:val="false"/>
          <w:color w:val="000000"/>
          <w:sz w:val="22"/>
        </w:rPr>
        <w:t> </w:t>
      </w:r>
      <w:r>
        <w:rPr>
          <w:rFonts w:ascii="Times New Roman" w:hAnsi="Times New Roman"/>
          <w:b w:val="false"/>
          <w:i w:val="false"/>
          <w:color w:val="000000"/>
          <w:sz w:val="22"/>
        </w:rPr>
        <w:t>Participation and assessments by and upon each insurer in the Plan for losses and expenses in connection with Plan business shall be levied and assessed by the governing committee of the Plan on the basis of participation factors determined annually, giving effect to the proportion that such insurer’s weighted premiums written bears to the aggregate weighted premiums written by all insurers in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20.55(2)</w:t>
      </w:r>
      <w:r>
        <w:rPr>
          <w:rFonts w:ascii="Times New Roman" w:hAnsi="Times New Roman"/>
          <w:b w:val="false"/>
          <w:i w:val="false"/>
          <w:color w:val="000000"/>
          <w:sz w:val="22"/>
        </w:rPr>
        <w:t> </w:t>
      </w:r>
      <w:r>
        <w:rPr>
          <w:rFonts w:ascii="Times New Roman" w:hAnsi="Times New Roman"/>
          <w:b w:val="false"/>
          <w:i w:val="false"/>
          <w:color w:val="000000"/>
          <w:sz w:val="22"/>
        </w:rPr>
        <w:t>De minimis assessments. Any assessment of less than $100 shall not be billed to an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20.55(3)</w:t>
      </w:r>
      <w:r>
        <w:rPr>
          <w:rFonts w:ascii="Times New Roman" w:hAnsi="Times New Roman"/>
          <w:b w:val="false"/>
          <w:i w:val="false"/>
          <w:color w:val="000000"/>
          <w:sz w:val="22"/>
        </w:rPr>
        <w:t> </w:t>
      </w:r>
      <w:r>
        <w:rPr>
          <w:rFonts w:ascii="Times New Roman" w:hAnsi="Times New Roman"/>
          <w:b w:val="false"/>
          <w:i w:val="false"/>
          <w:color w:val="000000"/>
          <w:sz w:val="22"/>
        </w:rPr>
        <w:t>Late payment fee. Assessments shall be due and payable when billed. If any member fails to pay an assessment within 60 days after it is due, the insurer shall pay interest from the billing date at the rate of 1.5 percent per month. In the event that an insurer fails to pay any applicable late payment fee with an assessment, the amount of such unpaid late payment fee will be included in the amount of the insurer’s next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20.55(4)</w:t>
      </w:r>
      <w:r>
        <w:rPr>
          <w:rFonts w:ascii="Times New Roman" w:hAnsi="Times New Roman"/>
          <w:b w:val="false"/>
          <w:i w:val="false"/>
          <w:color w:val="000000"/>
          <w:sz w:val="22"/>
        </w:rPr>
        <w:t> </w:t>
      </w:r>
      <w:r>
        <w:rPr>
          <w:rFonts w:ascii="Times New Roman" w:hAnsi="Times New Roman"/>
          <w:b w:val="false"/>
          <w:i w:val="false"/>
          <w:color w:val="000000"/>
          <w:sz w:val="22"/>
        </w:rPr>
        <w:t>Credits for voluntary writings. The Plan may develop a voluntary writing credit policy, subject to approval by the commissioner. Credits may be used as offsets to member company assessments made by the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7736C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191—20.56</w:t>
      </w:r>
      <w:r>
        <w:rPr>
          <w:rFonts w:ascii="Times New Roman" w:hAnsi="Times New Roman"/>
          <w:b/>
          <w:i w:val="false"/>
          <w:color w:val="000000"/>
          <w:sz w:val="22"/>
        </w:rPr>
        <w:t xml:space="preserve">(515,515F) </w:t>
      </w:r>
      <w:r>
        <w:rPr>
          <w:rFonts w:ascii="Times New Roman" w:hAnsi="Times New Roman"/>
          <w:b/>
          <w:i w:val="false"/>
          <w:color w:val="000000"/>
          <w:sz w:val="22"/>
        </w:rPr>
        <w:t xml:space="preserve">Commission.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20.56(1)</w:t>
      </w:r>
      <w:r>
        <w:rPr>
          <w:rFonts w:ascii="Times New Roman" w:hAnsi="Times New Roman"/>
          <w:b w:val="false"/>
          <w:i w:val="false"/>
          <w:color w:val="000000"/>
          <w:sz w:val="22"/>
        </w:rPr>
        <w:t> </w:t>
      </w:r>
      <w:r>
        <w:rPr>
          <w:rFonts w:ascii="Times New Roman" w:hAnsi="Times New Roman"/>
          <w:b w:val="false"/>
          <w:i w:val="false"/>
          <w:color w:val="000000"/>
          <w:sz w:val="22"/>
        </w:rPr>
        <w:t>Commission to the licensed producer designated by the applicant shall be 10 percent of all policy premiums. The Plan shall not license or appoint producers.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20.56(2)</w:t>
      </w:r>
      <w:r>
        <w:rPr>
          <w:rFonts w:ascii="Times New Roman" w:hAnsi="Times New Roman"/>
          <w:b w:val="false"/>
          <w:i w:val="false"/>
          <w:color w:val="000000"/>
          <w:sz w:val="22"/>
        </w:rPr>
        <w:t> </w:t>
      </w:r>
      <w:r>
        <w:rPr>
          <w:rFonts w:ascii="Times New Roman" w:hAnsi="Times New Roman"/>
          <w:b w:val="false"/>
          <w:i w:val="false"/>
          <w:color w:val="000000"/>
          <w:sz w:val="22"/>
        </w:rPr>
        <w:t>In the event of cancellation of a policy, or if an endorsement is issued that requires the premium to be returned to the insured, the producer shall refund proportionally to the Plan commissions on the return premium at the same rate at which such commissions were originally paid.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7736C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191—20.57</w:t>
      </w:r>
      <w:r>
        <w:rPr>
          <w:rFonts w:ascii="Times New Roman" w:hAnsi="Times New Roman"/>
          <w:b/>
          <w:i w:val="false"/>
          <w:color w:val="000000"/>
          <w:sz w:val="22"/>
        </w:rPr>
        <w:t xml:space="preserve">(515,515F) </w:t>
      </w:r>
      <w:r>
        <w:rPr>
          <w:rFonts w:ascii="Times New Roman" w:hAnsi="Times New Roman"/>
          <w:b/>
          <w:i w:val="false"/>
          <w:color w:val="000000"/>
          <w:sz w:val="22"/>
        </w:rPr>
        <w:t xml:space="preserve">Public education. </w:t>
      </w:r>
      <w:r>
        <w:rPr>
          <w:rFonts w:ascii="Times New Roman" w:hAnsi="Times New Roman"/>
          <w:b w:val="false"/>
          <w:i w:val="false"/>
          <w:color w:val="000000"/>
          <w:sz w:val="22"/>
        </w:rPr>
        <w:t>In cooperation with the insurance commissioner, the Plan shall undertake a continuing education program with insurers, producers and consumers about the Plan’s insurance program and its availability. All insurers and producers shall cooperate fully in the continuing education program. Such continuing education program will include the publication and distribution of literature: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Describing the Plan and its general operation;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Explaining the possible cost savings of obtaining insurance in the voluntary market;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Advising of the availability of rate comparison charts.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7736C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191—20.58</w:t>
      </w:r>
      <w:r>
        <w:rPr>
          <w:rFonts w:ascii="Times New Roman" w:hAnsi="Times New Roman"/>
          <w:b/>
          <w:i w:val="false"/>
          <w:color w:val="000000"/>
          <w:sz w:val="22"/>
        </w:rPr>
        <w:t xml:space="preserve">(515,515F) </w:t>
      </w:r>
      <w:r>
        <w:rPr>
          <w:rFonts w:ascii="Times New Roman" w:hAnsi="Times New Roman"/>
          <w:b/>
          <w:i w:val="false"/>
          <w:color w:val="000000"/>
          <w:sz w:val="22"/>
        </w:rPr>
        <w:t xml:space="preserve">Cooperation and authority of producers.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20.58(1)</w:t>
      </w:r>
      <w:r>
        <w:rPr>
          <w:rFonts w:ascii="Times New Roman" w:hAnsi="Times New Roman"/>
          <w:b w:val="false"/>
          <w:i w:val="false"/>
          <w:color w:val="000000"/>
          <w:sz w:val="22"/>
        </w:rPr>
        <w:t> </w:t>
      </w:r>
      <w:r>
        <w:rPr>
          <w:rFonts w:ascii="Times New Roman" w:hAnsi="Times New Roman"/>
          <w:b w:val="false"/>
          <w:i w:val="false"/>
          <w:color w:val="000000"/>
          <w:sz w:val="22"/>
        </w:rPr>
        <w:t>Each insurer shall require its licensed producers to cooperate fully in the accomplishment of the intents and purposes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20.58(2)</w:t>
      </w:r>
      <w:r>
        <w:rPr>
          <w:rFonts w:ascii="Times New Roman" w:hAnsi="Times New Roman"/>
          <w:b w:val="false"/>
          <w:i w:val="false"/>
          <w:color w:val="000000"/>
          <w:sz w:val="22"/>
        </w:rPr>
        <w:t> </w:t>
      </w:r>
      <w:r>
        <w:rPr>
          <w:rFonts w:ascii="Times New Roman" w:hAnsi="Times New Roman"/>
          <w:b w:val="false"/>
          <w:i w:val="false"/>
          <w:color w:val="000000"/>
          <w:sz w:val="22"/>
        </w:rPr>
        <w:t>Licensed insurance producers shall not act as agents for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20.58(3)</w:t>
      </w:r>
      <w:r>
        <w:rPr>
          <w:rFonts w:ascii="Times New Roman" w:hAnsi="Times New Roman"/>
          <w:b w:val="false"/>
          <w:i w:val="false"/>
          <w:color w:val="000000"/>
          <w:sz w:val="22"/>
        </w:rPr>
        <w:t> </w:t>
      </w:r>
      <w:r>
        <w:rPr>
          <w:rFonts w:ascii="Times New Roman" w:hAnsi="Times New Roman"/>
          <w:b w:val="false"/>
          <w:i w:val="false"/>
          <w:color w:val="000000"/>
          <w:sz w:val="22"/>
        </w:rPr>
        <w:t>Licensed insurance producers shall not do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Bind coverage for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Alter or change policies issued by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Settle losses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Act on behalf of the Plan or commit the Plan to any course of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20.58(4)</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insurance producers shall assist applicants who need to apply for coverage under the Plan, and shall submit applications that meet the requirements under rule </w:t>
      </w:r>
      <w:hyperlink r:id="rId36">
        <w:r>
          <w:rPr>
            <w:rStyle w:val="Hyperlink"/>
            <w:rFonts w:ascii="Times New Roman" w:hAnsi="Times New Roman"/>
            <w:b w:val="false"/>
            <w:i w:val="false"/>
            <w:color w:val="000000"/>
            <w:sz w:val="22"/>
          </w:rPr>
          <w:t>191—20.49</w:t>
        </w:r>
      </w:hyperlink>
      <w:r>
        <w:rPr>
          <w:rFonts w:ascii="Times New Roman" w:hAnsi="Times New Roman"/>
          <w:b w:val="false"/>
          <w:i w:val="false"/>
          <w:color w:val="000000"/>
          <w:sz w:val="22"/>
        </w:rPr>
        <w:t>(515,515F). Producers shall follow the rules and procedures of the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7736C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191—20.59</w:t>
      </w:r>
      <w:r>
        <w:rPr>
          <w:rFonts w:ascii="Times New Roman" w:hAnsi="Times New Roman"/>
          <w:b/>
          <w:i w:val="false"/>
          <w:color w:val="000000"/>
          <w:sz w:val="22"/>
        </w:rPr>
        <w:t xml:space="preserve">(515,515F) </w:t>
      </w:r>
      <w:r>
        <w:rPr>
          <w:rFonts w:ascii="Times New Roman" w:hAnsi="Times New Roman"/>
          <w:b/>
          <w:i w:val="false"/>
          <w:color w:val="000000"/>
          <w:sz w:val="22"/>
        </w:rPr>
        <w:t xml:space="preserve">Review by commissioner. </w:t>
      </w:r>
      <w:r>
        <w:rPr>
          <w:rFonts w:ascii="Times New Roman" w:hAnsi="Times New Roman"/>
          <w:b w:val="false"/>
          <w:i w:val="false"/>
          <w:color w:val="000000"/>
          <w:sz w:val="22"/>
        </w:rPr>
        <w:t>The governing committee shall report to the commissioner the name of any insurer or producer that fails to comply with the provisions of the Plan or with any rules prescribed thereunder by the governing committee or to pay within 30 days any assessment levied.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7736C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191—20.60</w:t>
      </w:r>
      <w:r>
        <w:rPr>
          <w:rFonts w:ascii="Times New Roman" w:hAnsi="Times New Roman"/>
          <w:b/>
          <w:i w:val="false"/>
          <w:color w:val="000000"/>
          <w:sz w:val="22"/>
        </w:rPr>
        <w:t xml:space="preserve">(515,515F) </w:t>
      </w:r>
      <w:r>
        <w:rPr>
          <w:rFonts w:ascii="Times New Roman" w:hAnsi="Times New Roman"/>
          <w:b/>
          <w:i w:val="false"/>
          <w:color w:val="000000"/>
          <w:sz w:val="22"/>
        </w:rPr>
        <w:t xml:space="preserve">Indemnification. </w:t>
      </w:r>
      <w:r>
        <w:rPr>
          <w:rFonts w:ascii="Times New Roman" w:hAnsi="Times New Roman"/>
          <w:b w:val="false"/>
          <w:i w:val="false"/>
          <w:color w:val="000000"/>
          <w:sz w:val="22"/>
        </w:rPr>
        <w:t>Each person serving on the governing committee or any of its subcommittees, each member of the Plan, and the manager and each officer and employee of the Plan shall be indemnified by the Plan against all cost, settlement, judgment, and expense actually and necessarily incurred by that person in connection with the defense of any action, suit, or proceeding in which that person is made a party by reason of that person’s being or having been a member of the governing committee or a member or manager or officer or employee of the Plan, except in relation to matters as to which that person has been judged in an action, suit, or proceeding to be liable by reason of willful misconduct in the performance of that person’s duties as a member of the governing committee or as a member, manager, officer or employee of the Plan. This indemnification shall not apply to any loss, cost or expense on insurance policy claims under the Plan. Indemnification under this rule shall not be exclusive of other rights to which the member, manager, officer, or employee may be entitled as a matter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7736C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2003 Iowa Acts, chapter 119</w:t>
      </w:r>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191—20.61</w:t>
      </w:r>
      <w:r>
        <w:rPr>
          <w:rFonts w:ascii="Times New Roman" w:hAnsi="Times New Roman"/>
          <w:b w:val="false"/>
          <w:i w:val="false"/>
          <w:color w:val="000000"/>
          <w:sz w:val="22"/>
        </w:rPr>
        <w:t xml:space="preserve"> to </w:t>
      </w:r>
      <w:r>
        <w:rPr>
          <w:rFonts w:ascii="Times New Roman" w:hAnsi="Times New Roman"/>
          <w:b/>
          <w:i w:val="false"/>
          <w:color w:val="000000"/>
          <w:sz w:val="22"/>
        </w:rPr>
        <w:t>20.69</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CERTIFICATES OF INSURANCE FOR COMMERCIAL LENDING TRANSACTIONS</w:t>
      </w:r>
    </w:p>
    <w:p>
      <w:pPr>
        <w:spacing w:before="0" w:after="0"/>
        <w:ind w:left="120"/>
        <w:jc w:val="both"/>
      </w:pPr>
      <w:r>
        <w:rPr>
          <w:rFonts w:ascii="Times New Roman" w:hAnsi="Times New Roman"/>
          <w:b/>
          <w:i w:val="false"/>
          <w:color w:val="000000"/>
          <w:sz w:val="22"/>
        </w:rPr>
        <w:t>191—20.70</w:t>
      </w:r>
      <w:r>
        <w:rPr>
          <w:rFonts w:ascii="Times New Roman" w:hAnsi="Times New Roman"/>
          <w:b/>
          <w:i w:val="false"/>
          <w:color w:val="000000"/>
          <w:sz w:val="22"/>
        </w:rPr>
        <w:t xml:space="preserve">(515)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division III is to clarify what information an insurance company regulated by the division may provide its customer in connection with a commercial real estate transaction between the customer and a lender.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7736C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191—20.71</w:t>
      </w:r>
      <w:r>
        <w:rPr>
          <w:rFonts w:ascii="Times New Roman" w:hAnsi="Times New Roman"/>
          <w:b/>
          <w:i w:val="false"/>
          <w:color w:val="000000"/>
          <w:sz w:val="22"/>
        </w:rPr>
        <w:t xml:space="preserve">(515)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division III,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“ACORD” </w:t>
      </w:r>
      <w:r>
        <w:rPr>
          <w:rFonts w:ascii="Times New Roman" w:hAnsi="Times New Roman"/>
          <w:b w:val="false"/>
          <w:i w:val="false"/>
          <w:color w:val="000000"/>
          <w:sz w:val="22"/>
        </w:rPr>
        <w:t>means the Association for Cooperative Operations Research and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“Commercial real estate transaction” </w:t>
      </w:r>
      <w:r>
        <w:rPr>
          <w:rFonts w:ascii="Times New Roman" w:hAnsi="Times New Roman"/>
          <w:b w:val="false"/>
          <w:i w:val="false"/>
          <w:color w:val="000000"/>
          <w:sz w:val="22"/>
        </w:rPr>
        <w:t xml:space="preserve">means a non-recourse commercial lending transaction in which the underlying property serves as the primary collateral securing the borrower’s repayment of the loan and neither the borrower nor any of its members, partners, or shareholders, nor any related person to any of the aforementioned persons, bears the economic risk of loss in the event of a payment default under the terms of the lending transaction.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insurance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“ISO” </w:t>
      </w:r>
      <w:r>
        <w:rPr>
          <w:rFonts w:ascii="Times New Roman" w:hAnsi="Times New Roman"/>
          <w:b w:val="false"/>
          <w:i w:val="false"/>
          <w:color w:val="000000"/>
          <w:sz w:val="22"/>
        </w:rPr>
        <w:t>means the Insurance Services Office, Inc.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7736C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191—20.72</w:t>
      </w:r>
      <w:r>
        <w:rPr>
          <w:rFonts w:ascii="Times New Roman" w:hAnsi="Times New Roman"/>
          <w:b/>
          <w:i w:val="false"/>
          <w:color w:val="000000"/>
          <w:sz w:val="22"/>
        </w:rPr>
        <w:t xml:space="preserve">(515) </w:t>
      </w:r>
      <w:r>
        <w:rPr>
          <w:rFonts w:ascii="Times New Roman" w:hAnsi="Times New Roman"/>
          <w:b/>
          <w:i w:val="false"/>
          <w:color w:val="000000"/>
          <w:sz w:val="22"/>
        </w:rPr>
        <w:t xml:space="preserve">Evidence of insurance.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20.72(1)</w:t>
      </w:r>
      <w:r>
        <w:rPr>
          <w:rFonts w:ascii="Times New Roman" w:hAnsi="Times New Roman"/>
          <w:b w:val="false"/>
          <w:i w:val="false"/>
          <w:color w:val="000000"/>
          <w:sz w:val="22"/>
        </w:rPr>
        <w:t> </w:t>
      </w:r>
      <w:r>
        <w:rPr>
          <w:rFonts w:ascii="Times New Roman" w:hAnsi="Times New Roman"/>
          <w:b w:val="false"/>
          <w:i w:val="false"/>
          <w:color w:val="000000"/>
          <w:sz w:val="22"/>
        </w:rPr>
        <w:t>Prior to the issuance of an insurance policy by an insurer, an insured who has entered into a commercial real estate transaction may request that the relevant insurer or a producer acting on behalf of the insurer provide the following items as evidence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ACORD Form 75, a successor ACORD form, an ISO binder form, or a substantially similar binder form approved by the division;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ACORD Form 28, a successor ACORD form, an ISO certificate form, or a substantially similar certificate of insurance form approved by the division.</w:t>
      </w:r>
    </w:p>
    <w:p>
      <w:pPr>
        <w:spacing w:before="0" w:after="0"/>
        <w:ind w:left="120"/>
        <w:jc w:val="both"/>
      </w:pPr>
      <w:r>
        <w:rPr>
          <w:rFonts w:ascii="Times New Roman" w:hAnsi="Times New Roman"/>
          <w:b w:val="false"/>
          <w:i w:val="false"/>
          <w:color w:val="000000"/>
          <w:sz w:val="22"/>
        </w:rPr>
        <w:t>The insurer or the producer acting on behalf of an insurer has the sole discretion to determine which division-approved binder form or certificate of insurance form the insurer or producer uses to comply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20.72(2)</w:t>
      </w:r>
      <w:r>
        <w:rPr>
          <w:rFonts w:ascii="Times New Roman" w:hAnsi="Times New Roman"/>
          <w:b w:val="false"/>
          <w:i w:val="false"/>
          <w:color w:val="000000"/>
          <w:sz w:val="22"/>
        </w:rPr>
        <w:t> </w:t>
      </w:r>
      <w:r>
        <w:rPr>
          <w:rFonts w:ascii="Times New Roman" w:hAnsi="Times New Roman"/>
          <w:b w:val="false"/>
          <w:i w:val="false"/>
          <w:color w:val="000000"/>
          <w:sz w:val="22"/>
        </w:rPr>
        <w:t>An insurer or a producer acting on behalf of an insurer shall comply with a request made pursuant to this rule within 20 business days of the receipt of the request. The requirements of this rule shall not apply to an insurance producer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Is unauthorized to provide the documents described in this rule;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Informs the insured of this fact within 20 business days of the receipt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20.72(3)</w:t>
      </w:r>
      <w:r>
        <w:rPr>
          <w:rFonts w:ascii="Times New Roman" w:hAnsi="Times New Roman"/>
          <w:b w:val="false"/>
          <w:i w:val="false"/>
          <w:color w:val="000000"/>
          <w:sz w:val="22"/>
        </w:rPr>
        <w:t> </w:t>
      </w:r>
      <w:r>
        <w:rPr>
          <w:rFonts w:ascii="Times New Roman" w:hAnsi="Times New Roman"/>
          <w:b w:val="false"/>
          <w:i w:val="false"/>
          <w:color w:val="000000"/>
          <w:sz w:val="22"/>
        </w:rPr>
        <w:t>Delivery of a binder along with a certificate of insurance requested pursuant to this rule may be accomplished by regular mail, overnight delivery, facsimile, physical delivery, electronic means, or other appropriate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20.72(4)</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 language on a form provided pursuant to subrule 20.72(1) which language states that the form is for “information only,” a binder together with a certificate of insurance delivered pursuant to this rule shall be valid and may be relied upon by the borrower or by the borrower’s lender as evidence of insurance, including in any private civil action or administrative proceeding, until the delivery of the insurance policy to the borrower or the cancellation of the binder pursuant to Iowa Code sections </w:t>
      </w:r>
      <w:hyperlink r:id="rId37">
        <w:r>
          <w:rPr>
            <w:rStyle w:val="Hyperlink"/>
            <w:rFonts w:ascii="Times New Roman" w:hAnsi="Times New Roman"/>
            <w:b w:val="false"/>
            <w:i w:val="false"/>
            <w:color w:val="000000"/>
            <w:sz w:val="22"/>
          </w:rPr>
          <w:t>515.125 through 515.127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20.72(5)</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insurer or producer acting on behalf of an insurer that produces or delivers a binder and certificate of insurance to its customer pursuant to this rule may charge a reasonable fee for the production and delivery of the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20.72(6)</w:t>
      </w:r>
      <w:r>
        <w:rPr>
          <w:rFonts w:ascii="Times New Roman" w:hAnsi="Times New Roman"/>
          <w:b w:val="false"/>
          <w:i w:val="false"/>
          <w:color w:val="000000"/>
          <w:sz w:val="22"/>
        </w:rPr>
        <w:t> </w:t>
      </w:r>
      <w:r>
        <w:rPr>
          <w:rFonts w:ascii="Times New Roman" w:hAnsi="Times New Roman"/>
          <w:b w:val="false"/>
          <w:i w:val="false"/>
          <w:color w:val="000000"/>
          <w:sz w:val="22"/>
        </w:rPr>
        <w:t>All insurers and all producers subject to this rule shall comply with the terms hereof within 90 days from May 9, 2012.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7736C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8">
        <w:r>
          <w:rPr>
            <w:rStyle w:val="Hyperlink"/>
            <w:rFonts w:ascii="Times New Roman" w:hAnsi="Times New Roman"/>
            <w:b w:val="false"/>
            <w:i w:val="false"/>
            <w:color w:val="000000"/>
            <w:sz w:val="22"/>
          </w:rPr>
          <w:t>515</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191—20.73</w:t>
      </w:r>
      <w:r>
        <w:rPr>
          <w:rFonts w:ascii="Times New Roman" w:hAnsi="Times New Roman"/>
          <w:b w:val="false"/>
          <w:i w:val="false"/>
          <w:color w:val="000000"/>
          <w:sz w:val="22"/>
        </w:rPr>
        <w:t xml:space="preserve"> to </w:t>
      </w:r>
      <w:r>
        <w:rPr>
          <w:rFonts w:ascii="Times New Roman" w:hAnsi="Times New Roman"/>
          <w:b/>
          <w:i w:val="false"/>
          <w:color w:val="000000"/>
          <w:sz w:val="22"/>
        </w:rPr>
        <w:t>20.79</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CANCELLATIONS, NONRENEWALS AND TERMINATIONS</w:t>
      </w:r>
    </w:p>
    <w:p>
      <w:pPr>
        <w:spacing w:before="0" w:after="0"/>
        <w:ind w:left="120"/>
        <w:jc w:val="both"/>
      </w:pPr>
      <w:r>
        <w:rPr>
          <w:rFonts w:ascii="Times New Roman" w:hAnsi="Times New Roman"/>
          <w:b/>
          <w:i w:val="false"/>
          <w:color w:val="000000"/>
          <w:sz w:val="22"/>
        </w:rPr>
        <w:t>191—20.80</w:t>
      </w:r>
      <w:r>
        <w:rPr>
          <w:rFonts w:ascii="Times New Roman" w:hAnsi="Times New Roman"/>
          <w:b/>
          <w:i w:val="false"/>
          <w:color w:val="000000"/>
          <w:sz w:val="22"/>
        </w:rPr>
        <w:t xml:space="preserve">(505B,515,515D,518,518A,519) </w:t>
      </w:r>
      <w:r>
        <w:rPr>
          <w:rFonts w:ascii="Times New Roman" w:hAnsi="Times New Roman"/>
          <w:b/>
          <w:i w:val="false"/>
          <w:color w:val="000000"/>
          <w:sz w:val="22"/>
        </w:rPr>
        <w:t xml:space="preserve">Notice of cancellation, nonrenewal or termination of property and casualty insurance.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20.80(1)</w:t>
      </w:r>
      <w:r>
        <w:rPr>
          <w:rFonts w:ascii="Times New Roman" w:hAnsi="Times New Roman"/>
          <w:b w:val="false"/>
          <w:i w:val="false"/>
          <w:color w:val="000000"/>
          <w:sz w:val="22"/>
        </w:rPr>
        <w:t> </w:t>
      </w:r>
      <w:r>
        <w:rPr>
          <w:rFonts w:ascii="Times New Roman" w:hAnsi="Times New Roman"/>
          <w:b w:val="false"/>
          <w:i/>
          <w:color w:val="000000"/>
          <w:sz w:val="22"/>
        </w:rPr>
        <w:t xml:space="preserve">Purpose and 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purpose of this rule is to implement the policyholder protections of Iowa Code sections </w:t>
      </w:r>
      <w:hyperlink r:id="rId39">
        <w:r>
          <w:rPr>
            <w:rStyle w:val="Hyperlink"/>
            <w:rFonts w:ascii="Times New Roman" w:hAnsi="Times New Roman"/>
            <w:b w:val="false"/>
            <w:i w:val="false"/>
            <w:color w:val="000000"/>
            <w:sz w:val="22"/>
          </w:rPr>
          <w:t>515.125</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515.126</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515.127</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515.128</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515.129</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515.129A</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515.129B</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515.129C</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515D.5</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515D.7</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518.23</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518A.29</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519.8</w:t>
        </w:r>
      </w:hyperlink>
      <w:r>
        <w:rPr>
          <w:rFonts w:ascii="Times New Roman" w:hAnsi="Times New Roman"/>
          <w:b w:val="false"/>
          <w:i w:val="false"/>
          <w:color w:val="000000"/>
          <w:sz w:val="22"/>
        </w:rPr>
        <w:t xml:space="preserve"> and chapter </w:t>
      </w:r>
      <w:hyperlink r:id="rId52">
        <w:r>
          <w:rPr>
            <w:rStyle w:val="Hyperlink"/>
            <w:rFonts w:ascii="Times New Roman" w:hAnsi="Times New Roman"/>
            <w:b w:val="false"/>
            <w:i w:val="false"/>
            <w:color w:val="000000"/>
            <w:sz w:val="22"/>
          </w:rPr>
          <w:t>505B</w:t>
        </w:r>
      </w:hyperlink>
      <w:r>
        <w:rPr>
          <w:rFonts w:ascii="Times New Roman" w:hAnsi="Times New Roman"/>
          <w:b w:val="false"/>
          <w:i w:val="false"/>
          <w:color w:val="000000"/>
          <w:sz w:val="22"/>
        </w:rPr>
        <w:t xml:space="preserve"> by clarifying the authorized methods of delivery for notices of cancellation, nonrenewal or termination by an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As used in Iowa Code section </w:t>
      </w:r>
      <w:hyperlink r:id="rId53">
        <w:r>
          <w:rPr>
            <w:rStyle w:val="Hyperlink"/>
            <w:rFonts w:ascii="Times New Roman" w:hAnsi="Times New Roman"/>
            <w:b w:val="false"/>
            <w:i w:val="false"/>
            <w:color w:val="000000"/>
            <w:sz w:val="22"/>
          </w:rPr>
          <w:t>505B.1</w:t>
        </w:r>
      </w:hyperlink>
      <w:r>
        <w:rPr>
          <w:rFonts w:ascii="Times New Roman" w:hAnsi="Times New Roman"/>
          <w:b w:val="false"/>
          <w:i w:val="false"/>
          <w:color w:val="000000"/>
          <w:sz w:val="22"/>
        </w:rPr>
        <w:t xml:space="preserve">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Iowa insurance commissioner or insurance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“Notice of cancellation, nonrenewal or termination”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Notice of an insurance company’s termination of an insurance policy at the end of a term or before the termination date;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Notice of an insurance company’s decision or intention not to renew a policy;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For purposes of notices required by Iowa Code sections </w:t>
      </w:r>
      <w:hyperlink r:id="rId54">
        <w:r>
          <w:rPr>
            <w:rStyle w:val="Hyperlink"/>
            <w:rFonts w:ascii="Times New Roman" w:hAnsi="Times New Roman"/>
            <w:b w:val="false"/>
            <w:i w:val="false"/>
            <w:color w:val="000000"/>
            <w:sz w:val="22"/>
          </w:rPr>
          <w:t>515.125</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515.126</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515.127</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515.128</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515.129</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515.129A</w:t>
        </w:r>
      </w:hyperlink>
      <w:r>
        <w:rPr>
          <w:rFonts w:ascii="Times New Roman" w:hAnsi="Times New Roman"/>
          <w:b w:val="false"/>
          <w:i w:val="false"/>
          <w:color w:val="000000"/>
          <w:sz w:val="22"/>
        </w:rPr>
        <w:t xml:space="preserve">, </w:t>
      </w:r>
      <w:hyperlink r:id="rId60">
        <w:r>
          <w:rPr>
            <w:rStyle w:val="Hyperlink"/>
            <w:rFonts w:ascii="Times New Roman" w:hAnsi="Times New Roman"/>
            <w:b w:val="false"/>
            <w:i w:val="false"/>
            <w:color w:val="000000"/>
            <w:sz w:val="22"/>
          </w:rPr>
          <w:t>515.129B</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515.129C</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515D.5</w:t>
        </w:r>
      </w:hyperlink>
      <w:r>
        <w:rPr>
          <w:rFonts w:ascii="Times New Roman" w:hAnsi="Times New Roman"/>
          <w:b w:val="false"/>
          <w:i w:val="false"/>
          <w:color w:val="000000"/>
          <w:sz w:val="22"/>
        </w:rPr>
        <w:t xml:space="preserve">, </w:t>
      </w:r>
      <w:hyperlink r:id="rId63">
        <w:r>
          <w:rPr>
            <w:rStyle w:val="Hyperlink"/>
            <w:rFonts w:ascii="Times New Roman" w:hAnsi="Times New Roman"/>
            <w:b w:val="false"/>
            <w:i w:val="false"/>
            <w:color w:val="000000"/>
            <w:sz w:val="22"/>
          </w:rPr>
          <w:t>515D.7</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518.23</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518A.29</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519.8</w:t>
        </w:r>
      </w:hyperlink>
      <w:r>
        <w:rPr>
          <w:rFonts w:ascii="Times New Roman" w:hAnsi="Times New Roman"/>
          <w:b w:val="false"/>
          <w:i w:val="false"/>
          <w:color w:val="000000"/>
          <w:sz w:val="22"/>
        </w:rPr>
        <w:t>, “notice of cancellation, nonrenewal or termination” includes but is not limited to an insurance company’s notice of cancellation, forfeiture, suspension, exclusion, nonrenewal, intention not to renew, or failure to renew.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20.80(2)</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This rule shall apply to all insurance companies holding a certificate of authority to transact the business of insurance under the provisions of Iowa Code chapters </w:t>
      </w:r>
      <w:hyperlink r:id="rId67">
        <w:r>
          <w:rPr>
            <w:rStyle w:val="Hyperlink"/>
            <w:rFonts w:ascii="Times New Roman" w:hAnsi="Times New Roman"/>
            <w:b w:val="false"/>
            <w:i w:val="false"/>
            <w:color w:val="000000"/>
            <w:sz w:val="22"/>
          </w:rPr>
          <w:t>508</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515</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518</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518A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20.80(3)</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 xml:space="preserve">For any notice of cancellation, nonrenewal or termination by an insurer under Iowa Code sections </w:t>
      </w:r>
      <w:hyperlink r:id="rId71">
        <w:r>
          <w:rPr>
            <w:rStyle w:val="Hyperlink"/>
            <w:rFonts w:ascii="Times New Roman" w:hAnsi="Times New Roman"/>
            <w:b w:val="false"/>
            <w:i w:val="false"/>
            <w:color w:val="000000"/>
            <w:sz w:val="22"/>
          </w:rPr>
          <w:t>515.125</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515.126</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515.127</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515.128</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515.129</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515.129A</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515.129B</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515.129C</w:t>
        </w:r>
      </w:hyperlink>
      <w:r>
        <w:rPr>
          <w:rFonts w:ascii="Times New Roman" w:hAnsi="Times New Roman"/>
          <w:b w:val="false"/>
          <w:i w:val="false"/>
          <w:color w:val="000000"/>
          <w:sz w:val="22"/>
        </w:rPr>
        <w:t xml:space="preserve">, </w:t>
      </w:r>
      <w:hyperlink r:id="rId79">
        <w:r>
          <w:rPr>
            <w:rStyle w:val="Hyperlink"/>
            <w:rFonts w:ascii="Times New Roman" w:hAnsi="Times New Roman"/>
            <w:b w:val="false"/>
            <w:i w:val="false"/>
            <w:color w:val="000000"/>
            <w:sz w:val="22"/>
          </w:rPr>
          <w:t>515D.5</w:t>
        </w:r>
      </w:hyperlink>
      <w:r>
        <w:rPr>
          <w:rFonts w:ascii="Times New Roman" w:hAnsi="Times New Roman"/>
          <w:b w:val="false"/>
          <w:i w:val="false"/>
          <w:color w:val="000000"/>
          <w:sz w:val="22"/>
        </w:rPr>
        <w:t xml:space="preserve">, </w:t>
      </w:r>
      <w:hyperlink r:id="rId80">
        <w:r>
          <w:rPr>
            <w:rStyle w:val="Hyperlink"/>
            <w:rFonts w:ascii="Times New Roman" w:hAnsi="Times New Roman"/>
            <w:b w:val="false"/>
            <w:i w:val="false"/>
            <w:color w:val="000000"/>
            <w:sz w:val="22"/>
          </w:rPr>
          <w:t>515D.7</w:t>
        </w:r>
      </w:hyperlink>
      <w:r>
        <w:rPr>
          <w:rFonts w:ascii="Times New Roman" w:hAnsi="Times New Roman"/>
          <w:b w:val="false"/>
          <w:i w:val="false"/>
          <w:color w:val="000000"/>
          <w:sz w:val="22"/>
        </w:rPr>
        <w:t xml:space="preserve">, </w:t>
      </w:r>
      <w:hyperlink r:id="rId81">
        <w:r>
          <w:rPr>
            <w:rStyle w:val="Hyperlink"/>
            <w:rFonts w:ascii="Times New Roman" w:hAnsi="Times New Roman"/>
            <w:b w:val="false"/>
            <w:i w:val="false"/>
            <w:color w:val="000000"/>
            <w:sz w:val="22"/>
          </w:rPr>
          <w:t>518.23</w:t>
        </w:r>
      </w:hyperlink>
      <w:r>
        <w:rPr>
          <w:rFonts w:ascii="Times New Roman" w:hAnsi="Times New Roman"/>
          <w:b w:val="false"/>
          <w:i w:val="false"/>
          <w:color w:val="000000"/>
          <w:sz w:val="22"/>
        </w:rPr>
        <w:t xml:space="preserve">, </w:t>
      </w:r>
      <w:hyperlink r:id="rId82">
        <w:r>
          <w:rPr>
            <w:rStyle w:val="Hyperlink"/>
            <w:rFonts w:ascii="Times New Roman" w:hAnsi="Times New Roman"/>
            <w:b w:val="false"/>
            <w:i w:val="false"/>
            <w:color w:val="000000"/>
            <w:sz w:val="22"/>
          </w:rPr>
          <w:t>518A.29</w:t>
        </w:r>
      </w:hyperlink>
      <w:r>
        <w:rPr>
          <w:rFonts w:ascii="Times New Roman" w:hAnsi="Times New Roman"/>
          <w:b w:val="false"/>
          <w:i w:val="false"/>
          <w:color w:val="000000"/>
          <w:sz w:val="22"/>
        </w:rPr>
        <w:t xml:space="preserve"> and </w:t>
      </w:r>
      <w:hyperlink r:id="rId83">
        <w:r>
          <w:rPr>
            <w:rStyle w:val="Hyperlink"/>
            <w:rFonts w:ascii="Times New Roman" w:hAnsi="Times New Roman"/>
            <w:b w:val="false"/>
            <w:i w:val="false"/>
            <w:color w:val="000000"/>
            <w:sz w:val="22"/>
          </w:rPr>
          <w:t>519.8</w:t>
        </w:r>
      </w:hyperlink>
      <w:r>
        <w:rPr>
          <w:rFonts w:ascii="Times New Roman" w:hAnsi="Times New Roman"/>
          <w:b w:val="false"/>
          <w:i w:val="false"/>
          <w:color w:val="000000"/>
          <w:sz w:val="22"/>
        </w:rPr>
        <w:t xml:space="preserve"> to be effective, an insurer must, within the time frame established by law, deliver the notice to the person to whom notice is required to be provided either in person or by mail through the U.S. Postal Service to the last-known address of the person to whom notice is required to be provided. The use of U.S. Postal Service Intelligent Mail</w:t>
      </w:r>
      <w:r>
        <w:rPr>
          <w:rFonts w:ascii="Times New Roman" w:hAnsi="Times New Roman"/>
          <w:b w:val="false"/>
          <w:i w:val="false"/>
          <w:color w:val="000000"/>
          <w:sz w:val="18"/>
          <w:vertAlign w:val="superscript"/>
        </w:rPr>
        <w:t>®</w:t>
      </w:r>
      <w:r>
        <w:rPr>
          <w:rFonts w:ascii="Times New Roman" w:hAnsi="Times New Roman"/>
          <w:b w:val="false"/>
          <w:i w:val="false"/>
          <w:color w:val="000000"/>
          <w:sz w:val="22"/>
        </w:rPr>
        <w:t xml:space="preserve"> fulfills any requirement in the Iowa Code sections cited in this subrule for certified mail or certificate of mailing as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20.80(4)</w:t>
      </w:r>
      <w:r>
        <w:rPr>
          <w:rFonts w:ascii="Times New Roman" w:hAnsi="Times New Roman"/>
          <w:b w:val="false"/>
          <w:i w:val="false"/>
          <w:color w:val="000000"/>
          <w:sz w:val="22"/>
        </w:rPr>
        <w:t> </w:t>
      </w:r>
      <w:r>
        <w:rPr>
          <w:rFonts w:ascii="Times New Roman" w:hAnsi="Times New Roman"/>
          <w:b w:val="false"/>
          <w:i/>
          <w:color w:val="000000"/>
          <w:sz w:val="22"/>
        </w:rPr>
        <w:t xml:space="preserve">Electronic transmissions. </w:t>
      </w:r>
      <w:r>
        <w:rPr>
          <w:rFonts w:ascii="Times New Roman" w:hAnsi="Times New Roman"/>
          <w:b w:val="false"/>
          <w:i w:val="false"/>
          <w:color w:val="000000"/>
          <w:sz w:val="22"/>
        </w:rPr>
        <w:t xml:space="preserve">Notwithstanding the requirements of subrule </w:t>
      </w:r>
      <w:hyperlink r:id="rId84">
        <w:r>
          <w:rPr>
            <w:rStyle w:val="Hyperlink"/>
            <w:rFonts w:ascii="Times New Roman" w:hAnsi="Times New Roman"/>
            <w:b w:val="false"/>
            <w:i w:val="false"/>
            <w:color w:val="000000"/>
            <w:sz w:val="22"/>
          </w:rPr>
          <w:t>20.80(3)</w:t>
        </w:r>
      </w:hyperlink>
      <w:r>
        <w:rPr>
          <w:rFonts w:ascii="Times New Roman" w:hAnsi="Times New Roman"/>
          <w:b w:val="false"/>
          <w:i w:val="false"/>
          <w:color w:val="000000"/>
          <w:sz w:val="22"/>
        </w:rPr>
        <w:t xml:space="preserve">, if an insurer receives approval from the commissioner of a manner of electronic delivery of a notice of cancellation, nonrenewal or termination of a policy, the approved manner shall satisfy the notice requirements of Iowa Code sections </w:t>
      </w:r>
      <w:hyperlink r:id="rId85">
        <w:r>
          <w:rPr>
            <w:rStyle w:val="Hyperlink"/>
            <w:rFonts w:ascii="Times New Roman" w:hAnsi="Times New Roman"/>
            <w:b w:val="false"/>
            <w:i w:val="false"/>
            <w:color w:val="000000"/>
            <w:sz w:val="22"/>
          </w:rPr>
          <w:t>515.125</w:t>
        </w:r>
      </w:hyperlink>
      <w:r>
        <w:rPr>
          <w:rFonts w:ascii="Times New Roman" w:hAnsi="Times New Roman"/>
          <w:b w:val="false"/>
          <w:i w:val="false"/>
          <w:color w:val="000000"/>
          <w:sz w:val="22"/>
        </w:rPr>
        <w:t xml:space="preserve">, </w:t>
      </w:r>
      <w:hyperlink r:id="rId86">
        <w:r>
          <w:rPr>
            <w:rStyle w:val="Hyperlink"/>
            <w:rFonts w:ascii="Times New Roman" w:hAnsi="Times New Roman"/>
            <w:b w:val="false"/>
            <w:i w:val="false"/>
            <w:color w:val="000000"/>
            <w:sz w:val="22"/>
          </w:rPr>
          <w:t>515.126</w:t>
        </w:r>
      </w:hyperlink>
      <w:r>
        <w:rPr>
          <w:rFonts w:ascii="Times New Roman" w:hAnsi="Times New Roman"/>
          <w:b w:val="false"/>
          <w:i w:val="false"/>
          <w:color w:val="000000"/>
          <w:sz w:val="22"/>
        </w:rPr>
        <w:t xml:space="preserve">, </w:t>
      </w:r>
      <w:hyperlink r:id="rId87">
        <w:r>
          <w:rPr>
            <w:rStyle w:val="Hyperlink"/>
            <w:rFonts w:ascii="Times New Roman" w:hAnsi="Times New Roman"/>
            <w:b w:val="false"/>
            <w:i w:val="false"/>
            <w:color w:val="000000"/>
            <w:sz w:val="22"/>
          </w:rPr>
          <w:t>515.127</w:t>
        </w:r>
      </w:hyperlink>
      <w:r>
        <w:rPr>
          <w:rFonts w:ascii="Times New Roman" w:hAnsi="Times New Roman"/>
          <w:b w:val="false"/>
          <w:i w:val="false"/>
          <w:color w:val="000000"/>
          <w:sz w:val="22"/>
        </w:rPr>
        <w:t xml:space="preserve">, </w:t>
      </w:r>
      <w:hyperlink r:id="rId88">
        <w:r>
          <w:rPr>
            <w:rStyle w:val="Hyperlink"/>
            <w:rFonts w:ascii="Times New Roman" w:hAnsi="Times New Roman"/>
            <w:b w:val="false"/>
            <w:i w:val="false"/>
            <w:color w:val="000000"/>
            <w:sz w:val="22"/>
          </w:rPr>
          <w:t>515.128</w:t>
        </w:r>
      </w:hyperlink>
      <w:r>
        <w:rPr>
          <w:rFonts w:ascii="Times New Roman" w:hAnsi="Times New Roman"/>
          <w:b w:val="false"/>
          <w:i w:val="false"/>
          <w:color w:val="000000"/>
          <w:sz w:val="22"/>
        </w:rPr>
        <w:t xml:space="preserve">, </w:t>
      </w:r>
      <w:hyperlink r:id="rId89">
        <w:r>
          <w:rPr>
            <w:rStyle w:val="Hyperlink"/>
            <w:rFonts w:ascii="Times New Roman" w:hAnsi="Times New Roman"/>
            <w:b w:val="false"/>
            <w:i w:val="false"/>
            <w:color w:val="000000"/>
            <w:sz w:val="22"/>
          </w:rPr>
          <w:t>515.129</w:t>
        </w:r>
      </w:hyperlink>
      <w:r>
        <w:rPr>
          <w:rFonts w:ascii="Times New Roman" w:hAnsi="Times New Roman"/>
          <w:b w:val="false"/>
          <w:i w:val="false"/>
          <w:color w:val="000000"/>
          <w:sz w:val="22"/>
        </w:rPr>
        <w:t xml:space="preserve">, </w:t>
      </w:r>
      <w:hyperlink r:id="rId90">
        <w:r>
          <w:rPr>
            <w:rStyle w:val="Hyperlink"/>
            <w:rFonts w:ascii="Times New Roman" w:hAnsi="Times New Roman"/>
            <w:b w:val="false"/>
            <w:i w:val="false"/>
            <w:color w:val="000000"/>
            <w:sz w:val="22"/>
          </w:rPr>
          <w:t>515.129A</w:t>
        </w:r>
      </w:hyperlink>
      <w:r>
        <w:rPr>
          <w:rFonts w:ascii="Times New Roman" w:hAnsi="Times New Roman"/>
          <w:b w:val="false"/>
          <w:i w:val="false"/>
          <w:color w:val="000000"/>
          <w:sz w:val="22"/>
        </w:rPr>
        <w:t xml:space="preserve">, </w:t>
      </w:r>
      <w:hyperlink r:id="rId91">
        <w:r>
          <w:rPr>
            <w:rStyle w:val="Hyperlink"/>
            <w:rFonts w:ascii="Times New Roman" w:hAnsi="Times New Roman"/>
            <w:b w:val="false"/>
            <w:i w:val="false"/>
            <w:color w:val="000000"/>
            <w:sz w:val="22"/>
          </w:rPr>
          <w:t>515.129B</w:t>
        </w:r>
      </w:hyperlink>
      <w:r>
        <w:rPr>
          <w:rFonts w:ascii="Times New Roman" w:hAnsi="Times New Roman"/>
          <w:b w:val="false"/>
          <w:i w:val="false"/>
          <w:color w:val="000000"/>
          <w:sz w:val="22"/>
        </w:rPr>
        <w:t xml:space="preserve">, </w:t>
      </w:r>
      <w:hyperlink r:id="rId92">
        <w:r>
          <w:rPr>
            <w:rStyle w:val="Hyperlink"/>
            <w:rFonts w:ascii="Times New Roman" w:hAnsi="Times New Roman"/>
            <w:b w:val="false"/>
            <w:i w:val="false"/>
            <w:color w:val="000000"/>
            <w:sz w:val="22"/>
          </w:rPr>
          <w:t>515.129C</w:t>
        </w:r>
      </w:hyperlink>
      <w:r>
        <w:rPr>
          <w:rFonts w:ascii="Times New Roman" w:hAnsi="Times New Roman"/>
          <w:b w:val="false"/>
          <w:i w:val="false"/>
          <w:color w:val="000000"/>
          <w:sz w:val="22"/>
        </w:rPr>
        <w:t xml:space="preserve">, </w:t>
      </w:r>
      <w:hyperlink r:id="rId93">
        <w:r>
          <w:rPr>
            <w:rStyle w:val="Hyperlink"/>
            <w:rFonts w:ascii="Times New Roman" w:hAnsi="Times New Roman"/>
            <w:b w:val="false"/>
            <w:i w:val="false"/>
            <w:color w:val="000000"/>
            <w:sz w:val="22"/>
          </w:rPr>
          <w:t>515D.5</w:t>
        </w:r>
      </w:hyperlink>
      <w:r>
        <w:rPr>
          <w:rFonts w:ascii="Times New Roman" w:hAnsi="Times New Roman"/>
          <w:b w:val="false"/>
          <w:i w:val="false"/>
          <w:color w:val="000000"/>
          <w:sz w:val="22"/>
        </w:rPr>
        <w:t xml:space="preserve">, </w:t>
      </w:r>
      <w:hyperlink r:id="rId94">
        <w:r>
          <w:rPr>
            <w:rStyle w:val="Hyperlink"/>
            <w:rFonts w:ascii="Times New Roman" w:hAnsi="Times New Roman"/>
            <w:b w:val="false"/>
            <w:i w:val="false"/>
            <w:color w:val="000000"/>
            <w:sz w:val="22"/>
          </w:rPr>
          <w:t>515D.7</w:t>
        </w:r>
      </w:hyperlink>
      <w:r>
        <w:rPr>
          <w:rFonts w:ascii="Times New Roman" w:hAnsi="Times New Roman"/>
          <w:b w:val="false"/>
          <w:i w:val="false"/>
          <w:color w:val="000000"/>
          <w:sz w:val="22"/>
        </w:rPr>
        <w:t xml:space="preserve">, </w:t>
      </w:r>
      <w:hyperlink r:id="rId95">
        <w:r>
          <w:rPr>
            <w:rStyle w:val="Hyperlink"/>
            <w:rFonts w:ascii="Times New Roman" w:hAnsi="Times New Roman"/>
            <w:b w:val="false"/>
            <w:i w:val="false"/>
            <w:color w:val="000000"/>
            <w:sz w:val="22"/>
          </w:rPr>
          <w:t>518.23</w:t>
        </w:r>
      </w:hyperlink>
      <w:r>
        <w:rPr>
          <w:rFonts w:ascii="Times New Roman" w:hAnsi="Times New Roman"/>
          <w:b w:val="false"/>
          <w:i w:val="false"/>
          <w:color w:val="000000"/>
          <w:sz w:val="22"/>
        </w:rPr>
        <w:t xml:space="preserve">, </w:t>
      </w:r>
      <w:hyperlink r:id="rId96">
        <w:r>
          <w:rPr>
            <w:rStyle w:val="Hyperlink"/>
            <w:rFonts w:ascii="Times New Roman" w:hAnsi="Times New Roman"/>
            <w:b w:val="false"/>
            <w:i w:val="false"/>
            <w:color w:val="000000"/>
            <w:sz w:val="22"/>
          </w:rPr>
          <w:t>518A.29</w:t>
        </w:r>
      </w:hyperlink>
      <w:r>
        <w:rPr>
          <w:rFonts w:ascii="Times New Roman" w:hAnsi="Times New Roman"/>
          <w:b w:val="false"/>
          <w:i w:val="false"/>
          <w:color w:val="000000"/>
          <w:sz w:val="22"/>
        </w:rPr>
        <w:t xml:space="preserve"> and </w:t>
      </w:r>
      <w:hyperlink r:id="rId97">
        <w:r>
          <w:rPr>
            <w:rStyle w:val="Hyperlink"/>
            <w:rFonts w:ascii="Times New Roman" w:hAnsi="Times New Roman"/>
            <w:b w:val="false"/>
            <w:i w:val="false"/>
            <w:color w:val="000000"/>
            <w:sz w:val="22"/>
          </w:rPr>
          <w:t>519.8</w:t>
        </w:r>
      </w:hyperlink>
      <w:r>
        <w:rPr>
          <w:rFonts w:ascii="Times New Roman" w:hAnsi="Times New Roman"/>
          <w:b w:val="false"/>
          <w:i w:val="false"/>
          <w:color w:val="000000"/>
          <w:sz w:val="22"/>
        </w:rPr>
        <w:t xml:space="preserve"> and chapter </w:t>
      </w:r>
      <w:hyperlink r:id="rId98">
        <w:r>
          <w:rPr>
            <w:rStyle w:val="Hyperlink"/>
            <w:rFonts w:ascii="Times New Roman" w:hAnsi="Times New Roman"/>
            <w:b w:val="false"/>
            <w:i w:val="false"/>
            <w:color w:val="000000"/>
            <w:sz w:val="22"/>
          </w:rPr>
          <w:t>505B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99">
        <w:r>
          <w:rPr>
            <w:rStyle w:val="Hyperlink"/>
            <w:rFonts w:ascii="Times New Roman" w:hAnsi="Times New Roman"/>
            <w:b w:val="false"/>
            <w:i w:val="false"/>
            <w:color w:val="000000"/>
            <w:sz w:val="22"/>
          </w:rPr>
          <w:t>505B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7736C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July 1, 1975]</w:t>
      </w:r>
    </w:p>
    <w:p>
      <w:pPr>
        <w:spacing w:before="0" w:after="0"/>
        <w:ind w:left="120"/>
        <w:jc w:val="center"/>
      </w:pPr>
      <w:r>
        <w:rPr>
          <w:rFonts w:ascii="Times New Roman" w:hAnsi="Times New Roman"/>
          <w:b w:val="false"/>
          <w:i w:val="false"/>
          <w:color w:val="000000"/>
          <w:sz w:val="21"/>
        </w:rPr>
        <w:t>[Filed 4/11/79, Notice 2/7/79—published 5/2/79, effective 6/7/79]</w:t>
      </w:r>
    </w:p>
    <w:p>
      <w:pPr>
        <w:spacing w:before="0" w:after="0"/>
        <w:ind w:left="120"/>
        <w:jc w:val="center"/>
      </w:pPr>
      <w:r>
        <w:rPr>
          <w:rFonts w:ascii="Times New Roman" w:hAnsi="Times New Roman"/>
          <w:b w:val="false"/>
          <w:i w:val="false"/>
          <w:color w:val="000000"/>
          <w:sz w:val="21"/>
        </w:rPr>
        <w:t>[Filed 11/20/80, Notice 9/17/80—published 12/10/80, effective 1/15/81]</w:t>
      </w:r>
    </w:p>
    <w:p>
      <w:pPr>
        <w:spacing w:before="0" w:after="0"/>
        <w:ind w:left="120"/>
        <w:jc w:val="center"/>
      </w:pPr>
      <w:r>
        <w:rPr>
          <w:rFonts w:ascii="Times New Roman" w:hAnsi="Times New Roman"/>
          <w:b w:val="false"/>
          <w:i w:val="false"/>
          <w:color w:val="000000"/>
          <w:sz w:val="21"/>
        </w:rPr>
        <w:t>[Filed 7/11/86, Notice 6/4/86—published 7/30/86, effective 9/3/86]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 xml:space="preserve">[Editorially transferred from [510] to [191], IAC Supp. 10/22/86; see </w:t>
      </w:r>
      <w:r>
        <w:rPr>
          <w:rFonts w:ascii="Times New Roman" w:hAnsi="Times New Roman"/>
          <w:b w:val="false"/>
          <w:i w:val="false"/>
          <w:color w:val="000000"/>
          <w:sz w:val="21"/>
        </w:rPr>
        <w:t>IAB 7/30/86</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6/24/88—published 7/13/88, effective 7/1/88]</w:t>
      </w:r>
    </w:p>
    <w:p>
      <w:pPr>
        <w:spacing w:before="0" w:after="0"/>
        <w:ind w:left="120"/>
        <w:jc w:val="center"/>
      </w:pPr>
      <w:r>
        <w:rPr>
          <w:rFonts w:ascii="Times New Roman" w:hAnsi="Times New Roman"/>
          <w:b w:val="false"/>
          <w:i w:val="false"/>
          <w:color w:val="000000"/>
          <w:sz w:val="21"/>
        </w:rPr>
        <w:t>[Filed 12/9/88, Notice 11/2/88—published 12/28/88, effective 2/1/89]</w:t>
      </w:r>
    </w:p>
    <w:p>
      <w:pPr>
        <w:spacing w:before="0" w:after="0"/>
        <w:ind w:left="120"/>
        <w:jc w:val="center"/>
      </w:pPr>
      <w:r>
        <w:rPr>
          <w:rFonts w:ascii="Times New Roman" w:hAnsi="Times New Roman"/>
          <w:b w:val="false"/>
          <w:i w:val="false"/>
          <w:color w:val="000000"/>
          <w:sz w:val="21"/>
        </w:rPr>
        <w:t>[Filed 7/20/90, Notice 6/13/90—published 8/8/90, effective 9/12/90]</w:t>
      </w:r>
    </w:p>
    <w:p>
      <w:pPr>
        <w:spacing w:before="0" w:after="0"/>
        <w:ind w:left="120"/>
        <w:jc w:val="center"/>
      </w:pPr>
      <w:r>
        <w:rPr>
          <w:rFonts w:ascii="Times New Roman" w:hAnsi="Times New Roman"/>
          <w:b w:val="false"/>
          <w:i w:val="false"/>
          <w:color w:val="000000"/>
          <w:sz w:val="21"/>
        </w:rPr>
        <w:t>[Filed 2/7/97, Notice 1/1/97—published 2/26/97, effective 4/2/97]</w:t>
      </w:r>
    </w:p>
    <w:p>
      <w:pPr>
        <w:spacing w:before="0" w:after="0"/>
        <w:ind w:left="120"/>
        <w:jc w:val="center"/>
      </w:pPr>
      <w:r>
        <w:rPr>
          <w:rFonts w:ascii="Times New Roman" w:hAnsi="Times New Roman"/>
          <w:b w:val="false"/>
          <w:i w:val="false"/>
          <w:color w:val="000000"/>
          <w:sz w:val="21"/>
        </w:rPr>
        <w:t>[Filed 3/29/01, Notice 10/18/00—published 4/18/01, effective 7/1/01]</w:t>
      </w:r>
    </w:p>
    <w:p>
      <w:pPr>
        <w:spacing w:before="0" w:after="0"/>
        <w:ind w:left="120"/>
        <w:jc w:val="center"/>
      </w:pPr>
      <w:r>
        <w:rPr>
          <w:rFonts w:ascii="Times New Roman" w:hAnsi="Times New Roman"/>
          <w:b w:val="false"/>
          <w:i w:val="false"/>
          <w:color w:val="000000"/>
          <w:sz w:val="21"/>
        </w:rPr>
        <w:t>[Filed 11/19/03, Notice 10/1/03—published 12/10/03, effective 1/14/04]</w:t>
      </w:r>
    </w:p>
    <w:p>
      <w:pPr>
        <w:spacing w:before="0" w:after="0"/>
        <w:ind w:left="120"/>
        <w:jc w:val="center"/>
      </w:pPr>
      <w:r>
        <w:rPr>
          <w:rFonts w:ascii="Times New Roman" w:hAnsi="Times New Roman"/>
          <w:b w:val="false"/>
          <w:i w:val="false"/>
          <w:color w:val="000000"/>
          <w:sz w:val="21"/>
        </w:rPr>
        <w:t>[Filed 11/5/04, Notice 9/29/04—published 11/24/04, effective 12/29/04]</w:t>
      </w:r>
    </w:p>
    <w:p>
      <w:pPr>
        <w:spacing w:before="0" w:after="0"/>
        <w:ind w:left="120"/>
        <w:jc w:val="center"/>
      </w:pPr>
      <w:r>
        <w:rPr>
          <w:rFonts w:ascii="Times New Roman" w:hAnsi="Times New Roman"/>
          <w:b w:val="false"/>
          <w:i w:val="false"/>
          <w:color w:val="000000"/>
          <w:sz w:val="21"/>
        </w:rPr>
        <w:t>[Filed 10/5/06, Notice 8/30/06—published 10/25/06, effective 11/29/06]</w:t>
      </w:r>
    </w:p>
    <w:p>
      <w:pPr>
        <w:spacing w:before="0" w:after="0"/>
        <w:ind w:left="120"/>
        <w:jc w:val="center"/>
      </w:pPr>
      <w:r>
        <w:rPr>
          <w:rFonts w:ascii="Times New Roman" w:hAnsi="Times New Roman"/>
          <w:b w:val="false"/>
          <w:i w:val="false"/>
          <w:color w:val="000000"/>
          <w:sz w:val="21"/>
        </w:rPr>
        <w:t>[Filed 11/2/06, Notice 9/27/06—published 11/22/06, effective 12/27/06]</w:t>
      </w:r>
    </w:p>
    <w:p>
      <w:pPr>
        <w:spacing w:before="0" w:after="0"/>
        <w:ind w:left="120"/>
        <w:jc w:val="center"/>
      </w:pPr>
      <w:r>
        <w:rPr>
          <w:rFonts w:ascii="Times New Roman" w:hAnsi="Times New Roman"/>
          <w:b w:val="false"/>
          <w:i w:val="false"/>
          <w:color w:val="000000"/>
          <w:sz w:val="21"/>
        </w:rPr>
        <w:t>[Filed 3/9/07, Notice 1/31/07—published 3/28/07, effective 5/2/07]</w:t>
      </w:r>
    </w:p>
    <w:p>
      <w:pPr>
        <w:spacing w:before="0" w:after="0"/>
        <w:ind w:left="120"/>
        <w:jc w:val="center"/>
      </w:pPr>
      <w:r>
        <w:rPr>
          <w:rFonts w:ascii="Times New Roman" w:hAnsi="Times New Roman"/>
          <w:b w:val="false"/>
          <w:i w:val="false"/>
          <w:color w:val="000000"/>
          <w:sz w:val="21"/>
        </w:rPr>
        <w:t>[Filed emergency 4/18/07—published 5/9/07, effective 5/2/07]</w:t>
      </w:r>
    </w:p>
    <w:p>
      <w:pPr>
        <w:spacing w:before="0" w:after="0"/>
        <w:ind w:left="120"/>
        <w:jc w:val="center"/>
      </w:pPr>
      <w:r>
        <w:rPr>
          <w:rFonts w:ascii="Times New Roman" w:hAnsi="Times New Roman"/>
          <w:b w:val="false"/>
          <w:i w:val="false"/>
          <w:color w:val="000000"/>
          <w:sz w:val="21"/>
        </w:rPr>
        <w:t>[Filed ARC 8624B</w:t>
      </w:r>
      <w:r>
        <w:rPr>
          <w:rFonts w:ascii="Times New Roman" w:hAnsi="Times New Roman"/>
          <w:b w:val="false"/>
          <w:i w:val="false"/>
          <w:color w:val="000000"/>
          <w:sz w:val="21"/>
        </w:rPr>
        <w:t xml:space="preserve"> (Notice ARC 8492B, IAB 1/27/10)</w:t>
      </w:r>
      <w:r>
        <w:rPr>
          <w:rFonts w:ascii="Times New Roman" w:hAnsi="Times New Roman"/>
          <w:b w:val="false"/>
          <w:i w:val="false"/>
          <w:color w:val="000000"/>
          <w:sz w:val="21"/>
        </w:rPr>
        <w:t>, IAB 3/24/10, effective 4/28/10]</w:t>
      </w:r>
    </w:p>
    <w:p>
      <w:pPr>
        <w:spacing w:before="0" w:after="0"/>
        <w:ind w:left="120"/>
        <w:jc w:val="center"/>
      </w:pPr>
      <w:r>
        <w:rPr>
          <w:rFonts w:ascii="Times New Roman" w:hAnsi="Times New Roman"/>
          <w:b w:val="false"/>
          <w:i w:val="false"/>
          <w:color w:val="000000"/>
          <w:sz w:val="21"/>
        </w:rPr>
        <w:t>[Filed Emergency After Notice ARC 0133C</w:t>
      </w:r>
      <w:r>
        <w:rPr>
          <w:rFonts w:ascii="Times New Roman" w:hAnsi="Times New Roman"/>
          <w:b w:val="false"/>
          <w:i w:val="false"/>
          <w:color w:val="000000"/>
          <w:sz w:val="21"/>
        </w:rPr>
        <w:t xml:space="preserve"> (Notice ARC 0070C, IAB 4/4/12)</w:t>
      </w:r>
      <w:r>
        <w:rPr>
          <w:rFonts w:ascii="Times New Roman" w:hAnsi="Times New Roman"/>
          <w:b w:val="false"/>
          <w:i w:val="false"/>
          <w:color w:val="000000"/>
          <w:sz w:val="21"/>
        </w:rPr>
        <w:t>, IAB 5/30/12, effective 5/9/12]</w:t>
      </w:r>
    </w:p>
    <w:p>
      <w:pPr>
        <w:spacing w:before="0" w:after="0"/>
        <w:ind w:left="120"/>
        <w:jc w:val="center"/>
      </w:pPr>
      <w:r>
        <w:rPr>
          <w:rFonts w:ascii="Times New Roman" w:hAnsi="Times New Roman"/>
          <w:b w:val="false"/>
          <w:i w:val="false"/>
          <w:color w:val="000000"/>
          <w:sz w:val="21"/>
        </w:rPr>
        <w:t>[Filed ARC 1125C</w:t>
      </w:r>
      <w:r>
        <w:rPr>
          <w:rFonts w:ascii="Times New Roman" w:hAnsi="Times New Roman"/>
          <w:b w:val="false"/>
          <w:i w:val="false"/>
          <w:color w:val="000000"/>
          <w:sz w:val="21"/>
        </w:rPr>
        <w:t xml:space="preserve"> (Notice ARC 0892C, IAB 7/24/13)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[Filed ARC 1334C</w:t>
      </w:r>
      <w:r>
        <w:rPr>
          <w:rFonts w:ascii="Times New Roman" w:hAnsi="Times New Roman"/>
          <w:b w:val="false"/>
          <w:i w:val="false"/>
          <w:color w:val="000000"/>
          <w:sz w:val="21"/>
        </w:rPr>
        <w:t xml:space="preserve"> (Notice ARC 1127C, IAB 10/16/13)</w:t>
      </w:r>
      <w:r>
        <w:rPr>
          <w:rFonts w:ascii="Times New Roman" w:hAnsi="Times New Roman"/>
          <w:b w:val="false"/>
          <w:i w:val="false"/>
          <w:color w:val="000000"/>
          <w:sz w:val="21"/>
        </w:rPr>
        <w:t>, IAB 2/19/14, effective 3/26/14]</w:t>
      </w:r>
    </w:p>
    <w:p>
      <w:pPr>
        <w:spacing w:before="0" w:after="0"/>
        <w:ind w:left="120"/>
        <w:jc w:val="center"/>
      </w:pPr>
      <w:r>
        <w:rPr>
          <w:rFonts w:ascii="Times New Roman" w:hAnsi="Times New Roman"/>
          <w:b w:val="false"/>
          <w:i w:val="false"/>
          <w:color w:val="000000"/>
          <w:sz w:val="21"/>
        </w:rPr>
        <w:t>[Filed ARC 1999C</w:t>
      </w:r>
      <w:r>
        <w:rPr>
          <w:rFonts w:ascii="Times New Roman" w:hAnsi="Times New Roman"/>
          <w:b w:val="false"/>
          <w:i w:val="false"/>
          <w:color w:val="000000"/>
          <w:sz w:val="21"/>
        </w:rPr>
        <w:t xml:space="preserve"> (Notice ARC 1943C, IAB 4/1/15)</w:t>
      </w:r>
      <w:r>
        <w:rPr>
          <w:rFonts w:ascii="Times New Roman" w:hAnsi="Times New Roman"/>
          <w:b w:val="false"/>
          <w:i w:val="false"/>
          <w:color w:val="000000"/>
          <w:sz w:val="21"/>
        </w:rPr>
        <w:t>, IAB 5/27/15, effective 7/1/15]</w:t>
      </w:r>
    </w:p>
    <w:p>
      <w:pPr>
        <w:spacing w:before="0" w:after="0"/>
        <w:ind w:left="120"/>
        <w:jc w:val="center"/>
      </w:pPr>
      <w:r>
        <w:rPr>
          <w:rFonts w:ascii="Times New Roman" w:hAnsi="Times New Roman"/>
          <w:b w:val="false"/>
          <w:i w:val="false"/>
          <w:color w:val="000000"/>
          <w:sz w:val="21"/>
        </w:rPr>
        <w:t>[Filed ARC 2227C</w:t>
      </w:r>
      <w:r>
        <w:rPr>
          <w:rFonts w:ascii="Times New Roman" w:hAnsi="Times New Roman"/>
          <w:b w:val="false"/>
          <w:i w:val="false"/>
          <w:color w:val="000000"/>
          <w:sz w:val="21"/>
        </w:rPr>
        <w:t xml:space="preserve"> (Notice ARC 2103C, IAB 8/19/15)</w:t>
      </w:r>
      <w:r>
        <w:rPr>
          <w:rFonts w:ascii="Times New Roman" w:hAnsi="Times New Roman"/>
          <w:b w:val="false"/>
          <w:i w:val="false"/>
          <w:color w:val="000000"/>
          <w:sz w:val="21"/>
        </w:rPr>
        <w:t>, IAB 10/28/15, effective 12/2/15]</w:t>
      </w:r>
    </w:p>
    <w:p>
      <w:pPr>
        <w:spacing w:before="0" w:after="0"/>
        <w:ind w:left="120"/>
        <w:jc w:val="center"/>
      </w:pPr>
      <w:r>
        <w:rPr>
          <w:rFonts w:ascii="Times New Roman" w:hAnsi="Times New Roman"/>
          <w:b w:val="false"/>
          <w:i w:val="false"/>
          <w:color w:val="000000"/>
          <w:sz w:val="21"/>
        </w:rPr>
        <w:t>[Filed ARC 2415C</w:t>
      </w:r>
      <w:r>
        <w:rPr>
          <w:rFonts w:ascii="Times New Roman" w:hAnsi="Times New Roman"/>
          <w:b w:val="false"/>
          <w:i w:val="false"/>
          <w:color w:val="000000"/>
          <w:sz w:val="21"/>
        </w:rPr>
        <w:t xml:space="preserve"> (Notice ARC 2078C, IAB 8/5/15)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5602C</w:t>
      </w:r>
      <w:r>
        <w:rPr>
          <w:rFonts w:ascii="Times New Roman" w:hAnsi="Times New Roman"/>
          <w:b w:val="false"/>
          <w:i w:val="false"/>
          <w:color w:val="000000"/>
          <w:sz w:val="21"/>
        </w:rPr>
        <w:t xml:space="preserve"> (Notice ARC 5500C, IAB 3/10/21)</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7736C</w:t>
      </w:r>
      <w:r>
        <w:rPr>
          <w:rFonts w:ascii="Times New Roman" w:hAnsi="Times New Roman"/>
          <w:b w:val="false"/>
          <w:i w:val="false"/>
          <w:color w:val="000000"/>
          <w:sz w:val="21"/>
        </w:rPr>
        <w:t xml:space="preserve"> (Notice ARC 7351C, IAB 1/24/24)</w:t>
      </w:r>
      <w:r>
        <w:rPr>
          <w:rFonts w:ascii="Times New Roman" w:hAnsi="Times New Roman"/>
          <w:b w:val="false"/>
          <w:i w:val="false"/>
          <w:color w:val="000000"/>
          <w:sz w:val="21"/>
        </w:rPr>
        <w:t>, IAB 3/20/24, effective 4/24/24]</w:t>
      </w:r>
    </w:p>
    <w:p>
      <w:pPr>
        <w:spacing w:before="0" w:after="0"/>
        <w:ind w:left="120"/>
        <w:jc w:val="center"/>
      </w:pPr>
      <w:r>
        <w:rPr>
          <w:rFonts w:ascii="Times New Roman" w:hAnsi="Times New Roman"/>
          <w:b w:val="false"/>
          <w:i w:val="false"/>
          <w:color w:val="000000"/>
          <w:sz w:val="21"/>
        </w:rPr>
        <w:t>[Filed Emergency After Notice ARC 8056C</w:t>
      </w:r>
      <w:r>
        <w:rPr>
          <w:rFonts w:ascii="Times New Roman" w:hAnsi="Times New Roman"/>
          <w:b w:val="false"/>
          <w:i w:val="false"/>
          <w:color w:val="000000"/>
          <w:sz w:val="21"/>
        </w:rPr>
        <w:t xml:space="preserve"> (Notice ARC 7884C, IAB 4/17/24)</w:t>
      </w:r>
      <w:r>
        <w:rPr>
          <w:rFonts w:ascii="Times New Roman" w:hAnsi="Times New Roman"/>
          <w:b w:val="false"/>
          <w:i w:val="false"/>
          <w:color w:val="000000"/>
          <w:sz w:val="21"/>
        </w:rPr>
        <w:t>, IAB 6/12/24, effective 5/22/24]</w:t>
      </w:r>
    </w:p>
    <w:p>
      <w:pPr>
        <w:pBdr>
          <w:bottom w:space="2"/>
        </w:pBdr>
        <w:spacing w:before="0" w:after="0"/>
        <w:ind w:left="120"/>
        <w:jc w:val="both"/>
      </w:pPr>
      <w:r>
        <w:rPr>
          <w:rFonts w:ascii="Times New Roman" w:hAnsi="Times New Roman"/>
          <w:b w:val="false"/>
          <w:i w:val="false"/>
          <w:color w:val="000000"/>
          <w:sz w:val="22"/>
        </w:rPr>
        <w:t>See IAB Insurance Division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erff.com" Type="http://schemas.openxmlformats.org/officeDocument/2006/relationships/hyperlink" Id="rId5"/>
    <Relationship TargetMode="External" Target="https://www.legis.iowa.gov/docs/ico/chapter/515F.pdf" Type="http://schemas.openxmlformats.org/officeDocument/2006/relationships/hyperlink" Id="rId6"/>
    <Relationship TargetMode="External" Target="https://www.legis.iowa.gov/docs/ico/chapter/515F.3.pdf" Type="http://schemas.openxmlformats.org/officeDocument/2006/relationships/hyperlink" Id="rId7"/>
    <Relationship TargetMode="External" Target="https://www.legis.iowa.gov/docs/ico/chapter/515F.2.pdf" Type="http://schemas.openxmlformats.org/officeDocument/2006/relationships/hyperlink" Id="rId8"/>
    <Relationship TargetMode="External" Target="https://www.legis.iowa.gov/docs/ico/chapter/515F.8.pdf" Type="http://schemas.openxmlformats.org/officeDocument/2006/relationships/hyperlink" Id="rId9"/>
    <Relationship TargetMode="External" Target="https://www.legis.iowa.gov/docs/ico/chapter/515F.2.pdf" Type="http://schemas.openxmlformats.org/officeDocument/2006/relationships/hyperlink" Id="rId10"/>
    <Relationship TargetMode="External" Target="https://www.legis.iowa.gov/docs/ico/chapter/515F.4.pdf" Type="http://schemas.openxmlformats.org/officeDocument/2006/relationships/hyperlink" Id="rId11"/>
    <Relationship TargetMode="External" Target="https://www.legis.iowa.gov/docs/ico/chapter/515F.6.pdf" Type="http://schemas.openxmlformats.org/officeDocument/2006/relationships/hyperlink" Id="rId12"/>
    <Relationship TargetMode="External" Target="https://www.legis.iowa.gov/docs/ico/chapter/515F.23.pdf" Type="http://schemas.openxmlformats.org/officeDocument/2006/relationships/hyperlink" Id="rId13"/>
    <Relationship TargetMode="External" Target="https://www.legis.iowa.gov/docs/ico/chapter/515F.25.pdf" Type="http://schemas.openxmlformats.org/officeDocument/2006/relationships/hyperlink" Id="rId14"/>
    <Relationship TargetMode="External" Target="https://www.legis.iowa.gov/docs/iac/rule/191.20.5.pdf" Type="http://schemas.openxmlformats.org/officeDocument/2006/relationships/hyperlink" Id="rId15"/>
    <Relationship TargetMode="External" Target="https://www.legis.iowa.gov/docs/iac/rule/191.20.5.pdf" Type="http://schemas.openxmlformats.org/officeDocument/2006/relationships/hyperlink" Id="rId16"/>
    <Relationship TargetMode="External" Target="https://www.legis.iowa.gov/docs/ico/chapter/515F.4.pdf" Type="http://schemas.openxmlformats.org/officeDocument/2006/relationships/hyperlink" Id="rId17"/>
    <Relationship TargetMode="External" Target="https://www.legis.iowa.gov/docs/ico/chapter/515F.5.pdf" Type="http://schemas.openxmlformats.org/officeDocument/2006/relationships/hyperlink" Id="rId18"/>
    <Relationship TargetMode="External" Target="https://www.legis.iowa.gov/docs/ico/chapter/515F.8.pdf" Type="http://schemas.openxmlformats.org/officeDocument/2006/relationships/hyperlink" Id="rId19"/>
    <Relationship TargetMode="External" Target="https://www.legis.iowa.gov/docs/ico/chapter/515A.4.pdf" Type="http://schemas.openxmlformats.org/officeDocument/2006/relationships/hyperlink" Id="rId20"/>
    <Relationship TargetMode="External" Target="https://www.legis.iowa.gov/docs/ico/chapter/515.102.pdf" Type="http://schemas.openxmlformats.org/officeDocument/2006/relationships/hyperlink" Id="rId21"/>
    <Relationship TargetMode="External" Target="https://www.legis.iowa.gov/docs/ico/chapter/515F.pdf" Type="http://schemas.openxmlformats.org/officeDocument/2006/relationships/hyperlink" Id="rId22"/>
    <Relationship TargetMode="External" Target="https://www.legis.iowa.gov/docs/ico/chapter/515.109.pdf" Type="http://schemas.openxmlformats.org/officeDocument/2006/relationships/hyperlink" Id="rId23"/>
    <Relationship TargetMode="External" Target="https://www.legis.iowa.gov/docs/ico/chapter/515F.30-38.pdf" Type="http://schemas.openxmlformats.org/officeDocument/2006/relationships/hyperlink" Id="rId24"/>
    <Relationship TargetMode="External" Target="https://www.legis.iowa.gov/docs/ico/chapter/514F.2.pdf" Type="http://schemas.openxmlformats.org/officeDocument/2006/relationships/hyperlink" Id="rId25"/>
    <Relationship TargetMode="External" Target="https://www.legis.iowa.gov/docs/ico/chapter/515F.32.pdf" Type="http://schemas.openxmlformats.org/officeDocument/2006/relationships/hyperlink" Id="rId26"/>
    <Relationship TargetMode="External" Target="https://www.legis.iowa.gov/docs/iac/rule/191.20.1.pdf" Type="http://schemas.openxmlformats.org/officeDocument/2006/relationships/hyperlink" Id="rId27"/>
    <Relationship TargetMode="External" Target="https://www.legis.iowa.gov/docs/iac/rule/191.20.52.pdf" Type="http://schemas.openxmlformats.org/officeDocument/2006/relationships/hyperlink" Id="rId28"/>
    <Relationship TargetMode="External" Target="https://www.legis.iowa.gov/docs/iac/rule/191.20.52.pdf" Type="http://schemas.openxmlformats.org/officeDocument/2006/relationships/hyperlink" Id="rId29"/>
    <Relationship TargetMode="External" Target="https://www.legis.iowa.gov/docs/iac/rule/191.20.54.pdf" Type="http://schemas.openxmlformats.org/officeDocument/2006/relationships/hyperlink" Id="rId30"/>
    <Relationship TargetMode="External" Target="https://www.legis.iowa.gov/docs/iac/rule/191.20.53.pdf" Type="http://schemas.openxmlformats.org/officeDocument/2006/relationships/hyperlink" Id="rId31"/>
    <Relationship TargetMode="External" Target="https://www.legis.iowa.gov/docs/iac/rule/191.20.54.pdf" Type="http://schemas.openxmlformats.org/officeDocument/2006/relationships/hyperlink" Id="rId32"/>
    <Relationship TargetMode="External" Target="https://www.legis.iowa.gov/docs/ico/chapter/515.125.pdf" Type="http://schemas.openxmlformats.org/officeDocument/2006/relationships/hyperlink" Id="rId33"/>
    <Relationship TargetMode="External" Target="https://www.legis.iowa.gov/docs/ico/chapter/515.127.pdf" Type="http://schemas.openxmlformats.org/officeDocument/2006/relationships/hyperlink" Id="rId34"/>
    <Relationship TargetMode="External" Target="https://www.legis.iowa.gov/docs/ico/chapter/515.128.pdf" Type="http://schemas.openxmlformats.org/officeDocument/2006/relationships/hyperlink" Id="rId35"/>
    <Relationship TargetMode="External" Target="https://www.legis.iowa.gov/docs/iac/rule/191.20.49.pdf" Type="http://schemas.openxmlformats.org/officeDocument/2006/relationships/hyperlink" Id="rId36"/>
    <Relationship TargetMode="External" Target="https://www.legis.iowa.gov/docs/ico/chapter/515.125-127.pdf" Type="http://schemas.openxmlformats.org/officeDocument/2006/relationships/hyperlink" Id="rId37"/>
    <Relationship TargetMode="External" Target="https://www.legis.iowa.gov/docs/ico/chapter/515.pdf" Type="http://schemas.openxmlformats.org/officeDocument/2006/relationships/hyperlink" Id="rId38"/>
    <Relationship TargetMode="External" Target="https://www.legis.iowa.gov/docs/ico/chapter/515.125.pdf" Type="http://schemas.openxmlformats.org/officeDocument/2006/relationships/hyperlink" Id="rId39"/>
    <Relationship TargetMode="External" Target="https://www.legis.iowa.gov/docs/ico/chapter/515.126.pdf" Type="http://schemas.openxmlformats.org/officeDocument/2006/relationships/hyperlink" Id="rId40"/>
    <Relationship TargetMode="External" Target="https://www.legis.iowa.gov/docs/ico/chapter/515.127.pdf" Type="http://schemas.openxmlformats.org/officeDocument/2006/relationships/hyperlink" Id="rId41"/>
    <Relationship TargetMode="External" Target="https://www.legis.iowa.gov/docs/ico/chapter/515.128.pdf" Type="http://schemas.openxmlformats.org/officeDocument/2006/relationships/hyperlink" Id="rId42"/>
    <Relationship TargetMode="External" Target="https://www.legis.iowa.gov/docs/ico/chapter/515.129.pdf" Type="http://schemas.openxmlformats.org/officeDocument/2006/relationships/hyperlink" Id="rId43"/>
    <Relationship TargetMode="External" Target="https://www.legis.iowa.gov/docs/ico/chapter/515.129A.pdf" Type="http://schemas.openxmlformats.org/officeDocument/2006/relationships/hyperlink" Id="rId44"/>
    <Relationship TargetMode="External" Target="https://www.legis.iowa.gov/docs/ico/chapter/515.129B.pdf" Type="http://schemas.openxmlformats.org/officeDocument/2006/relationships/hyperlink" Id="rId45"/>
    <Relationship TargetMode="External" Target="https://www.legis.iowa.gov/docs/ico/chapter/515.129C.pdf" Type="http://schemas.openxmlformats.org/officeDocument/2006/relationships/hyperlink" Id="rId46"/>
    <Relationship TargetMode="External" Target="https://www.legis.iowa.gov/docs/ico/chapter/515D.5.pdf" Type="http://schemas.openxmlformats.org/officeDocument/2006/relationships/hyperlink" Id="rId47"/>
    <Relationship TargetMode="External" Target="https://www.legis.iowa.gov/docs/ico/chapter/515D.7.pdf" Type="http://schemas.openxmlformats.org/officeDocument/2006/relationships/hyperlink" Id="rId48"/>
    <Relationship TargetMode="External" Target="https://www.legis.iowa.gov/docs/ico/chapter/518.23.pdf" Type="http://schemas.openxmlformats.org/officeDocument/2006/relationships/hyperlink" Id="rId49"/>
    <Relationship TargetMode="External" Target="https://www.legis.iowa.gov/docs/ico/chapter/518A.29.pdf" Type="http://schemas.openxmlformats.org/officeDocument/2006/relationships/hyperlink" Id="rId50"/>
    <Relationship TargetMode="External" Target="https://www.legis.iowa.gov/docs/ico/chapter/519.8.pdf" Type="http://schemas.openxmlformats.org/officeDocument/2006/relationships/hyperlink" Id="rId51"/>
    <Relationship TargetMode="External" Target="https://www.legis.iowa.gov/docs/ico/chapter/505B.pdf" Type="http://schemas.openxmlformats.org/officeDocument/2006/relationships/hyperlink" Id="rId52"/>
    <Relationship TargetMode="External" Target="https://www.legis.iowa.gov/docs/ico/chapter/505B.1.pdf" Type="http://schemas.openxmlformats.org/officeDocument/2006/relationships/hyperlink" Id="rId53"/>
    <Relationship TargetMode="External" Target="https://www.legis.iowa.gov/docs/ico/chapter/515.125.pdf" Type="http://schemas.openxmlformats.org/officeDocument/2006/relationships/hyperlink" Id="rId54"/>
    <Relationship TargetMode="External" Target="https://www.legis.iowa.gov/docs/ico/chapter/515.126.pdf" Type="http://schemas.openxmlformats.org/officeDocument/2006/relationships/hyperlink" Id="rId55"/>
    <Relationship TargetMode="External" Target="https://www.legis.iowa.gov/docs/ico/chapter/515.127.pdf" Type="http://schemas.openxmlformats.org/officeDocument/2006/relationships/hyperlink" Id="rId56"/>
    <Relationship TargetMode="External" Target="https://www.legis.iowa.gov/docs/ico/chapter/515.128.pdf" Type="http://schemas.openxmlformats.org/officeDocument/2006/relationships/hyperlink" Id="rId57"/>
    <Relationship TargetMode="External" Target="https://www.legis.iowa.gov/docs/ico/chapter/515.129.pdf" Type="http://schemas.openxmlformats.org/officeDocument/2006/relationships/hyperlink" Id="rId58"/>
    <Relationship TargetMode="External" Target="https://www.legis.iowa.gov/docs/ico/chapter/515.129A.pdf" Type="http://schemas.openxmlformats.org/officeDocument/2006/relationships/hyperlink" Id="rId59"/>
    <Relationship TargetMode="External" Target="https://www.legis.iowa.gov/docs/ico/chapter/515.129B.pdf" Type="http://schemas.openxmlformats.org/officeDocument/2006/relationships/hyperlink" Id="rId60"/>
    <Relationship TargetMode="External" Target="https://www.legis.iowa.gov/docs/ico/chapter/515.129C.pdf" Type="http://schemas.openxmlformats.org/officeDocument/2006/relationships/hyperlink" Id="rId61"/>
    <Relationship TargetMode="External" Target="https://www.legis.iowa.gov/docs/ico/chapter/515D.5.pdf" Type="http://schemas.openxmlformats.org/officeDocument/2006/relationships/hyperlink" Id="rId62"/>
    <Relationship TargetMode="External" Target="https://www.legis.iowa.gov/docs/ico/chapter/515D.7.pdf" Type="http://schemas.openxmlformats.org/officeDocument/2006/relationships/hyperlink" Id="rId63"/>
    <Relationship TargetMode="External" Target="https://www.legis.iowa.gov/docs/ico/chapter/518.23.pdf" Type="http://schemas.openxmlformats.org/officeDocument/2006/relationships/hyperlink" Id="rId64"/>
    <Relationship TargetMode="External" Target="https://www.legis.iowa.gov/docs/ico/chapter/518A.29.pdf" Type="http://schemas.openxmlformats.org/officeDocument/2006/relationships/hyperlink" Id="rId65"/>
    <Relationship TargetMode="External" Target="https://www.legis.iowa.gov/docs/ico/chapter/519.8.pdf" Type="http://schemas.openxmlformats.org/officeDocument/2006/relationships/hyperlink" Id="rId66"/>
    <Relationship TargetMode="External" Target="https://www.legis.iowa.gov/docs/ico/chapter/508.pdf" Type="http://schemas.openxmlformats.org/officeDocument/2006/relationships/hyperlink" Id="rId67"/>
    <Relationship TargetMode="External" Target="https://www.legis.iowa.gov/docs/ico/chapter/515.pdf" Type="http://schemas.openxmlformats.org/officeDocument/2006/relationships/hyperlink" Id="rId68"/>
    <Relationship TargetMode="External" Target="https://www.legis.iowa.gov/docs/ico/chapter/518.pdf" Type="http://schemas.openxmlformats.org/officeDocument/2006/relationships/hyperlink" Id="rId69"/>
    <Relationship TargetMode="External" Target="https://www.legis.iowa.gov/docs/ico/chapter/518A.pdf" Type="http://schemas.openxmlformats.org/officeDocument/2006/relationships/hyperlink" Id="rId70"/>
    <Relationship TargetMode="External" Target="https://www.legis.iowa.gov/docs/ico/chapter/515.125.pdf" Type="http://schemas.openxmlformats.org/officeDocument/2006/relationships/hyperlink" Id="rId71"/>
    <Relationship TargetMode="External" Target="https://www.legis.iowa.gov/docs/ico/chapter/515.126.pdf" Type="http://schemas.openxmlformats.org/officeDocument/2006/relationships/hyperlink" Id="rId72"/>
    <Relationship TargetMode="External" Target="https://www.legis.iowa.gov/docs/ico/chapter/515.127.pdf" Type="http://schemas.openxmlformats.org/officeDocument/2006/relationships/hyperlink" Id="rId73"/>
    <Relationship TargetMode="External" Target="https://www.legis.iowa.gov/docs/ico/chapter/515.128.pdf" Type="http://schemas.openxmlformats.org/officeDocument/2006/relationships/hyperlink" Id="rId74"/>
    <Relationship TargetMode="External" Target="https://www.legis.iowa.gov/docs/ico/chapter/515.129.pdf" Type="http://schemas.openxmlformats.org/officeDocument/2006/relationships/hyperlink" Id="rId75"/>
    <Relationship TargetMode="External" Target="https://www.legis.iowa.gov/docs/ico/chapter/515.129A.pdf" Type="http://schemas.openxmlformats.org/officeDocument/2006/relationships/hyperlink" Id="rId76"/>
    <Relationship TargetMode="External" Target="https://www.legis.iowa.gov/docs/ico/chapter/515.129B.pdf" Type="http://schemas.openxmlformats.org/officeDocument/2006/relationships/hyperlink" Id="rId77"/>
    <Relationship TargetMode="External" Target="https://www.legis.iowa.gov/docs/ico/chapter/515.129C.pdf" Type="http://schemas.openxmlformats.org/officeDocument/2006/relationships/hyperlink" Id="rId78"/>
    <Relationship TargetMode="External" Target="https://www.legis.iowa.gov/docs/ico/chapter/515D.5.pdf" Type="http://schemas.openxmlformats.org/officeDocument/2006/relationships/hyperlink" Id="rId79"/>
    <Relationship TargetMode="External" Target="https://www.legis.iowa.gov/docs/ico/chapter/515D.7.pdf" Type="http://schemas.openxmlformats.org/officeDocument/2006/relationships/hyperlink" Id="rId80"/>
    <Relationship TargetMode="External" Target="https://www.legis.iowa.gov/docs/ico/chapter/518.23.pdf" Type="http://schemas.openxmlformats.org/officeDocument/2006/relationships/hyperlink" Id="rId81"/>
    <Relationship TargetMode="External" Target="https://www.legis.iowa.gov/docs/ico/chapter/518A.29.pdf" Type="http://schemas.openxmlformats.org/officeDocument/2006/relationships/hyperlink" Id="rId82"/>
    <Relationship TargetMode="External" Target="https://www.legis.iowa.gov/docs/ico/chapter/519.8.pdf" Type="http://schemas.openxmlformats.org/officeDocument/2006/relationships/hyperlink" Id="rId83"/>
    <Relationship TargetMode="External" Target="https://www.legis.iowa.gov/docs/iac/rule/191.20.80.pdf" Type="http://schemas.openxmlformats.org/officeDocument/2006/relationships/hyperlink" Id="rId84"/>
    <Relationship TargetMode="External" Target="https://www.legis.iowa.gov/docs/ico/chapter/515.125.pdf" Type="http://schemas.openxmlformats.org/officeDocument/2006/relationships/hyperlink" Id="rId85"/>
    <Relationship TargetMode="External" Target="https://www.legis.iowa.gov/docs/ico/chapter/515.126.pdf" Type="http://schemas.openxmlformats.org/officeDocument/2006/relationships/hyperlink" Id="rId86"/>
    <Relationship TargetMode="External" Target="https://www.legis.iowa.gov/docs/ico/chapter/515.127.pdf" Type="http://schemas.openxmlformats.org/officeDocument/2006/relationships/hyperlink" Id="rId87"/>
    <Relationship TargetMode="External" Target="https://www.legis.iowa.gov/docs/ico/chapter/515.128.pdf" Type="http://schemas.openxmlformats.org/officeDocument/2006/relationships/hyperlink" Id="rId88"/>
    <Relationship TargetMode="External" Target="https://www.legis.iowa.gov/docs/ico/chapter/515.129.pdf" Type="http://schemas.openxmlformats.org/officeDocument/2006/relationships/hyperlink" Id="rId89"/>
    <Relationship TargetMode="External" Target="https://www.legis.iowa.gov/docs/ico/chapter/515.129A.pdf" Type="http://schemas.openxmlformats.org/officeDocument/2006/relationships/hyperlink" Id="rId90"/>
    <Relationship TargetMode="External" Target="https://www.legis.iowa.gov/docs/ico/chapter/515.129B.pdf" Type="http://schemas.openxmlformats.org/officeDocument/2006/relationships/hyperlink" Id="rId91"/>
    <Relationship TargetMode="External" Target="https://www.legis.iowa.gov/docs/ico/chapter/515.129C.pdf" Type="http://schemas.openxmlformats.org/officeDocument/2006/relationships/hyperlink" Id="rId92"/>
    <Relationship TargetMode="External" Target="https://www.legis.iowa.gov/docs/ico/chapter/515D.5.pdf" Type="http://schemas.openxmlformats.org/officeDocument/2006/relationships/hyperlink" Id="rId93"/>
    <Relationship TargetMode="External" Target="https://www.legis.iowa.gov/docs/ico/chapter/515D.7.pdf" Type="http://schemas.openxmlformats.org/officeDocument/2006/relationships/hyperlink" Id="rId94"/>
    <Relationship TargetMode="External" Target="https://www.legis.iowa.gov/docs/ico/chapter/518.23.pdf" Type="http://schemas.openxmlformats.org/officeDocument/2006/relationships/hyperlink" Id="rId95"/>
    <Relationship TargetMode="External" Target="https://www.legis.iowa.gov/docs/ico/chapter/518A.29.pdf" Type="http://schemas.openxmlformats.org/officeDocument/2006/relationships/hyperlink" Id="rId96"/>
    <Relationship TargetMode="External" Target="https://www.legis.iowa.gov/docs/ico/chapter/519.8.pdf" Type="http://schemas.openxmlformats.org/officeDocument/2006/relationships/hyperlink" Id="rId97"/>
    <Relationship TargetMode="External" Target="https://www.legis.iowa.gov/docs/ico/chapter/505B.pdf" Type="http://schemas.openxmlformats.org/officeDocument/2006/relationships/hyperlink" Id="rId98"/>
    <Relationship TargetMode="External" Target="https://www.legis.iowa.gov/docs/ico/chapter/505B.pdf" Type="http://schemas.openxmlformats.org/officeDocument/2006/relationships/hyperlink" Id="rId9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