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REPLACEMENT OF LIFE INSURANCE AND ANNUITIES</w:t>
      </w:r>
    </w:p>
    <w:p>
      <w:pPr>
        <w:spacing w:before="0" w:after="0"/>
        <w:ind w:left="120"/>
        <w:jc w:val="center"/>
      </w:pPr>
      <w:r>
        <w:rPr>
          <w:rFonts w:ascii="Times New Roman" w:hAnsi="Times New Roman"/>
          <w:b w:val="false"/>
          <w:i w:val="false"/>
          <w:color w:val="000000"/>
          <w:sz w:val="14"/>
        </w:rPr>
        <w:t>[Prior to 10/22/86, Insurance Department[510]]</w:t>
      </w:r>
      <w:r>
        <w:br/>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spacing w:before="210" w:after="0"/>
        <w:ind w:left="120"/>
        <w:jc w:val="both"/>
      </w:pPr>
      <w:r>
        <w:rPr>
          <w:rFonts w:ascii="Times New Roman" w:hAnsi="Times New Roman"/>
          <w:b/>
          <w:i w:val="false"/>
          <w:color w:val="000000"/>
          <w:sz w:val="22"/>
        </w:rPr>
        <w:t>191—16.1</w:t>
      </w:r>
      <w:r>
        <w:rPr>
          <w:rFonts w:ascii="Times New Roman" w:hAnsi="Times New Roman"/>
          <w:b w:val="false"/>
          <w:i w:val="false"/>
          <w:color w:val="000000"/>
          <w:sz w:val="22"/>
        </w:rPr>
        <w:t xml:space="preserve"> to </w:t>
      </w:r>
      <w:r>
        <w:rPr>
          <w:rFonts w:ascii="Times New Roman" w:hAnsi="Times New Roman"/>
          <w:b/>
          <w:i w:val="false"/>
          <w:color w:val="000000"/>
          <w:sz w:val="22"/>
        </w:rPr>
        <w:t>16.20</w:t>
      </w:r>
      <w:r>
        <w:rPr>
          <w:rFonts w:ascii="Times New Roman" w:hAnsi="Times New Roman"/>
          <w:b w:val="false"/>
          <w:i w:val="false"/>
          <w:color w:val="000000"/>
          <w:sz w:val="22"/>
        </w:rPr>
        <w:t xml:space="preserve"> Reserved.</w:t>
      </w:r>
    </w:p>
    <w:p>
      <w:pPr>
        <w:pBdr>
          <w:top w:space="10"/>
        </w:pBdr>
        <w:spacing w:before="0" w:after="0"/>
        <w:ind w:left="120"/>
        <w:jc w:val="center"/>
      </w:pPr>
      <w:r>
        <w:rPr>
          <w:rFonts w:ascii="Times New Roman" w:hAnsi="Times New Roman"/>
          <w:b w:val="false"/>
          <w:i w:val="false"/>
          <w:color w:val="000000"/>
          <w:sz w:val="16"/>
        </w:rPr>
        <w:t>DIVISION II</w:t>
      </w:r>
    </w:p>
    <w:p>
      <w:pPr>
        <w:spacing w:before="0" w:after="0"/>
        <w:ind w:left="120"/>
        <w:jc w:val="center"/>
      </w:pPr>
      <w:r>
        <w:rPr>
          <w:rFonts w:ascii="Times New Roman" w:hAnsi="Times New Roman"/>
          <w:b w:val="false"/>
          <w:i w:val="false"/>
          <w:color w:val="000000"/>
          <w:sz w:val="14"/>
        </w:rPr>
        <w:t>(Effective July 1, 2000)</w:t>
      </w:r>
    </w:p>
    <w:p>
      <w:pPr>
        <w:spacing w:before="0" w:after="0"/>
        <w:ind w:left="120"/>
        <w:jc w:val="both"/>
      </w:pPr>
      <w:r>
        <w:rPr>
          <w:rFonts w:ascii="Times New Roman" w:hAnsi="Times New Roman"/>
          <w:b/>
          <w:i w:val="false"/>
          <w:color w:val="000000"/>
          <w:sz w:val="22"/>
        </w:rPr>
        <w:t>191—16.21</w:t>
      </w:r>
      <w:r>
        <w:rPr>
          <w:rFonts w:ascii="Times New Roman" w:hAnsi="Times New Roman"/>
          <w:b/>
          <w:i w:val="false"/>
          <w:color w:val="000000"/>
          <w:sz w:val="22"/>
        </w:rPr>
        <w:t xml:space="preserve">(507B)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regulate the activities of insurers and producers with respect to the replacement of existing life insurance and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protect the interests of life insurance and annuity purchasers by establishing minimum standards of conduct to be observed in replacement or financed purchase transactions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Ensuring that purchasers receive information with which a decision can be made in the purchaser’s own best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Reducing the opportunity for misrepresentation and incomplete disclosure;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Establishing penalties for failure to comply with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are authorized by Iowa Code section </w:t>
      </w:r>
      <w:hyperlink r:id="rId5">
        <w:r>
          <w:rPr>
            <w:rStyle w:val="Hyperlink"/>
            <w:rFonts w:ascii="Times New Roman" w:hAnsi="Times New Roman"/>
            <w:b w:val="false"/>
            <w:i w:val="false"/>
            <w:color w:val="000000"/>
            <w:sz w:val="22"/>
          </w:rPr>
          <w:t>507B.12</w:t>
        </w:r>
      </w:hyperlink>
      <w:r>
        <w:rPr>
          <w:rFonts w:ascii="Times New Roman" w:hAnsi="Times New Roman"/>
          <w:b w:val="false"/>
          <w:i w:val="false"/>
          <w:color w:val="000000"/>
          <w:sz w:val="22"/>
        </w:rPr>
        <w:t xml:space="preserve"> and are intended to implement Iowa Code section </w:t>
      </w:r>
      <w:hyperlink r:id="rId6">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191—16.22</w:t>
      </w:r>
      <w:r>
        <w:rPr>
          <w:rFonts w:ascii="Times New Roman" w:hAnsi="Times New Roman"/>
          <w:b/>
          <w:i w:val="false"/>
          <w:color w:val="000000"/>
          <w:sz w:val="22"/>
        </w:rPr>
        <w:t xml:space="preserve">(507B)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an individual annuity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“Direct-response solicitation” </w:t>
      </w:r>
      <w:r>
        <w:rPr>
          <w:rFonts w:ascii="Times New Roman" w:hAnsi="Times New Roman"/>
          <w:b w:val="false"/>
          <w:i w:val="false"/>
          <w:color w:val="000000"/>
          <w:sz w:val="22"/>
        </w:rPr>
        <w:t>means a solicitation through a sponsoring or endorsing entity or individually solely through mails, telephone, the Internet or other mass communication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insurer” </w:t>
      </w:r>
      <w:r>
        <w:rPr>
          <w:rFonts w:ascii="Times New Roman" w:hAnsi="Times New Roman"/>
          <w:b w:val="false"/>
          <w:i w:val="false"/>
          <w:color w:val="000000"/>
          <w:sz w:val="22"/>
        </w:rPr>
        <w:t>means the insurance company whose policy or contract is or will be changed or affected in a manner described within the definition of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policy or contract” </w:t>
      </w:r>
      <w:r>
        <w:rPr>
          <w:rFonts w:ascii="Times New Roman" w:hAnsi="Times New Roman"/>
          <w:b w:val="false"/>
          <w:i w:val="false"/>
          <w:color w:val="000000"/>
          <w:sz w:val="22"/>
        </w:rPr>
        <w:t>means an individual life insurance policy (policy) or annuity contract (contract) in force, including a policy under a binding or conditional receipt or a policy or contract that is within an unconditional refund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“Financed purchase” </w:t>
      </w:r>
      <w:r>
        <w:rPr>
          <w:rFonts w:ascii="Times New Roman" w:hAnsi="Times New Roman"/>
          <w:b w:val="false"/>
          <w:i w:val="false"/>
          <w:color w:val="000000"/>
          <w:sz w:val="22"/>
        </w:rPr>
        <w:t xml:space="preserve">means the purchase of a new policy involving the actual or intended use of funds obtained by the withdrawal or surrender of, or by borrowing from, values of an existing policy to pay all or part of any premium due on a new policy. For purposes of a regulatory review of an individual transaction only, if a withdrawal, surrender, or borrowing involving the policy values of an existing policy is used to pay premiums on a new policy owned by the same policyholder and issued by the same company, within 4 months before or 13 months after the effective date of the new policy, it will be deemed prima facie evidence of the policyholder’s intent to purchase the new policy with existing policy values. This prima facie standard is not intended to increase or decrease the monitoring obligations contained in paragraph </w:t>
      </w:r>
      <w:hyperlink r:id="rId7">
        <w:r>
          <w:rPr>
            <w:rStyle w:val="Hyperlink"/>
            <w:rFonts w:ascii="Times New Roman" w:hAnsi="Times New Roman"/>
            <w:b w:val="false"/>
            <w:i w:val="false"/>
            <w:color w:val="000000"/>
            <w:sz w:val="22"/>
          </w:rPr>
          <w:t>16.25(1)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“Illustration” </w:t>
      </w:r>
      <w:r>
        <w:rPr>
          <w:rFonts w:ascii="Times New Roman" w:hAnsi="Times New Roman"/>
          <w:b w:val="false"/>
          <w:i w:val="false"/>
          <w:color w:val="000000"/>
          <w:sz w:val="22"/>
        </w:rPr>
        <w:t xml:space="preserve">means a presentation or depiction that includes nonguaranteed elements of a policy of life insurance over a period of years as defined in </w:t>
      </w:r>
      <w:hyperlink r:id="rId8">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means an individual life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summary,” </w:t>
      </w:r>
      <w:r>
        <w:rPr>
          <w:rFonts w:ascii="Times New Roman" w:hAnsi="Times New Roman"/>
          <w:b w:val="false"/>
          <w:i w:val="false"/>
          <w:color w:val="000000"/>
          <w:sz w:val="22"/>
        </w:rPr>
        <w:t>for the purposes of these rules,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policies or contracts other than universal life policies, a written statement regarding a policy or contract that shall contain to the extent applicable, but need not be limited to, the following information: current death benefit, annual contract premium, current cash surrender value, current dividend, application of current dividend, and amount of outstanding loan.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universal life policies, a written statement that shall contain at least the following information: the beginning and end date of the current report period; the policy value at the end of the previous report period and at the end of the current report period; the total amounts that have been credited or debited to the policy value during the current report period, identifying each by type (e.g., interest, mortality, expense and riders); the current death benefit at the end of the current report period on each life covered by the policy; the net cash surrender value of the policy as of the end of the current report period; and the amount of outstanding loans, if any, as of the end of the current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means a person licensed under Iowa Code chapter </w:t>
      </w:r>
      <w:hyperlink r:id="rId9">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contract” </w:t>
      </w:r>
      <w:r>
        <w:rPr>
          <w:rFonts w:ascii="Times New Roman" w:hAnsi="Times New Roman"/>
          <w:b w:val="false"/>
          <w:i w:val="false"/>
          <w:color w:val="000000"/>
          <w:sz w:val="22"/>
        </w:rPr>
        <w:t>means a variable annuity contract or variable life insurance policy subject to the prospectus delivery requirements of the Securities Act of 1933.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means a transaction in which a new policy or contract is to be purchased, and it is known or should be known to the proposing producer, or to the proposing insurer if there is no producer, that by reason of the transaction, an existing policy or contract has been or is to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Lapsed, forfeited, surrendered or partially surrendered, assigned to the replacing insurer or otherwise terminated;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Converted to reduced paid-up insurance, continued as extended term insurance, or otherwise reduced in value by the use of nonforfeiture benefits or other policy values;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Amended so as to effect either a reduction in benefits or in the term for which coverage would otherwise remain in force or for which benefits would be paid;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Reissued with any reduction in cash value;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Used in a financed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“Replacing insurer” </w:t>
      </w:r>
      <w:r>
        <w:rPr>
          <w:rFonts w:ascii="Times New Roman" w:hAnsi="Times New Roman"/>
          <w:b w:val="false"/>
          <w:i w:val="false"/>
          <w:color w:val="000000"/>
          <w:sz w:val="22"/>
        </w:rPr>
        <w:t>means the insurance company that issues or proposes to issue a new policy or contract that replaces an existing policy or contract or is a financed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material” </w:t>
      </w:r>
      <w:r>
        <w:rPr>
          <w:rFonts w:ascii="Times New Roman" w:hAnsi="Times New Roman"/>
          <w:b w:val="false"/>
          <w:i w:val="false"/>
          <w:color w:val="000000"/>
          <w:sz w:val="22"/>
        </w:rPr>
        <w:t>means a sales illustration and any other written, printed or electronically presented information created, completed or provided by the company or producer that is used in the presentation to the policy or contract owner related to the policy or contract that is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191—16.23</w:t>
      </w:r>
      <w:r>
        <w:rPr>
          <w:rFonts w:ascii="Times New Roman" w:hAnsi="Times New Roman"/>
          <w:b/>
          <w:i w:val="false"/>
          <w:color w:val="000000"/>
          <w:sz w:val="22"/>
        </w:rPr>
        <w:t xml:space="preserve">(507B)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16.23(1)</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specifically included, these rules shall not apply to transactions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Credit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life insurance or group annuities where there is no direct solicitation of individuals by an insurance producer. Direct solicitation shall not include any group meeting held by an insurance producer solely for the purpose of educating or enrolling individuals or, when initiated by an individual member of the group, assisting with the selection of investment options offered by a single insurer in connection with enrolling that individual. Group life insurance or group annuity certificates marketed through direct-response solicitation shall be subject to the provisions of </w:t>
      </w:r>
      <w:hyperlink r:id="rId10">
        <w:r>
          <w:rPr>
            <w:rStyle w:val="Hyperlink"/>
            <w:rFonts w:ascii="Times New Roman" w:hAnsi="Times New Roman"/>
            <w:b w:val="false"/>
            <w:i w:val="false"/>
            <w:color w:val="000000"/>
            <w:sz w:val="22"/>
          </w:rPr>
          <w:t>rule 191—16.28(507B)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Group life insurance and annuities used to fund formal prepaid funeral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to the existing insurer that issued the existing policy or contract when a contractual change or a conversion privilege is being exercised; or when the existing policy or contract is being replaced by the same insurer pursuant to a program filed with and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Proposed life insurance that is to replace life insurance under a binding or conditional receipt issued by the same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as noted below, policies or contracts used to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employee pension or welfare benefit plan that is covered by the Employee Retirement and Income Security Act (ERISA);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described by Section 401(a), 401(k) or 403(b) of the Internal Revenue Code, where the plan, for purposes of ERISA, is established or maintained by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governmental or church plan defined in Section 414 of the Internal Revenue Code, a governmental or church welfare benefit plan, or a deferred compensation plan of a state or local government or tax-exempt organization under Section 457 of the Internal Revenue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nonqualified deferred compensation arrangement established or maintained by an employer or plan sponsor.</w:t>
      </w:r>
    </w:p>
    <w:p>
      <w:pPr>
        <w:spacing w:before="0" w:after="0"/>
        <w:ind w:left="120"/>
        <w:jc w:val="both"/>
      </w:pPr>
      <w:r>
        <w:rPr>
          <w:rFonts w:ascii="Times New Roman" w:hAnsi="Times New Roman"/>
          <w:b w:val="false"/>
          <w:i w:val="false"/>
          <w:color w:val="000000"/>
          <w:sz w:val="22"/>
        </w:rPr>
        <w:t>These rules shall apply to policies or contracts used to fund any plan or arrangement that is funded solely by contributions an employee elects to make, whether on a pretax or after-tax basis, and where the insurance company has been notified that plan participants may choose from among two or more annuity providers or policy providers and there is a direct solicitation of an individual employee by an insurance producer for the purchase of a contract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New coverage provided under a life insurance policy or contract where the cost is borne wholly by the insured’s employer or by an association of which the insured is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Existing life insurance that is a non-convertible term life insurance policy that will expire in five years or less and cannot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Immediate annuities that are purchased with proceeds from an existing contract. Immediate annuities purchased with proceeds from an existing policy are not exempted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Structured settlement annuities.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contracts shall be exempt from the requirements of paragraph </w:t>
      </w:r>
      <w:hyperlink r:id="rId11">
        <w:r>
          <w:rPr>
            <w:rStyle w:val="Hyperlink"/>
            <w:rFonts w:ascii="Times New Roman" w:hAnsi="Times New Roman"/>
            <w:b w:val="false"/>
            <w:i w:val="false"/>
            <w:color w:val="000000"/>
            <w:sz w:val="22"/>
          </w:rPr>
          <w:t>16.26(1)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12">
        <w:r>
          <w:rPr>
            <w:rStyle w:val="Hyperlink"/>
            <w:rFonts w:ascii="Times New Roman" w:hAnsi="Times New Roman"/>
            <w:b w:val="false"/>
            <w:i w:val="false"/>
            <w:color w:val="000000"/>
            <w:sz w:val="22"/>
          </w:rPr>
          <w:t>16.27(2)</w:t>
        </w:r>
      </w:hyperlink>
      <w:r>
        <w:rPr>
          <w:rFonts w:ascii="Times New Roman" w:hAnsi="Times New Roman"/>
          <w:b w:val="false"/>
          <w:i w:val="false"/>
          <w:color w:val="000000"/>
          <w:sz w:val="22"/>
        </w:rPr>
        <w:t xml:space="preserve"> with respect to the provision of illustrations or policy summaries; however, premium or contract contribution amounts and identification of the appropriate prospectus or offering circular shall be required instead.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191—16.24</w:t>
      </w:r>
      <w:r>
        <w:rPr>
          <w:rFonts w:ascii="Times New Roman" w:hAnsi="Times New Roman"/>
          <w:b/>
          <w:i w:val="false"/>
          <w:color w:val="000000"/>
          <w:sz w:val="22"/>
        </w:rPr>
        <w:t xml:space="preserve">(507B) </w:t>
      </w:r>
      <w:r>
        <w:rPr>
          <w:rFonts w:ascii="Times New Roman" w:hAnsi="Times New Roman"/>
          <w:b/>
          <w:i w:val="false"/>
          <w:color w:val="000000"/>
          <w:sz w:val="22"/>
        </w:rPr>
        <w:t xml:space="preserve">Duties of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16.24(1)</w:t>
      </w:r>
      <w:r>
        <w:rPr>
          <w:rFonts w:ascii="Times New Roman" w:hAnsi="Times New Roman"/>
          <w:b w:val="false"/>
          <w:i w:val="false"/>
          <w:color w:val="000000"/>
          <w:sz w:val="22"/>
        </w:rPr>
        <w:t> </w:t>
      </w:r>
      <w:r>
        <w:rPr>
          <w:rFonts w:ascii="Times New Roman" w:hAnsi="Times New Roman"/>
          <w:b w:val="false"/>
          <w:i w:val="false"/>
          <w:color w:val="000000"/>
          <w:sz w:val="22"/>
        </w:rPr>
        <w:t>A producer who initiates an application for a policy or a contract shall submit to the insurer, with or as part of the application, a statement signed by both the applicant and the producer as to whether the applicant has existing policies or contracts. If the applicant does not have an existing policy or contract, the producer’s duties with respect to replacement are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16.24(2)</w:t>
      </w:r>
      <w:r>
        <w:rPr>
          <w:rFonts w:ascii="Times New Roman" w:hAnsi="Times New Roman"/>
          <w:b w:val="false"/>
          <w:i w:val="false"/>
          <w:color w:val="000000"/>
          <w:sz w:val="22"/>
        </w:rPr>
        <w:t> </w:t>
      </w:r>
      <w:r>
        <w:rPr>
          <w:rFonts w:ascii="Times New Roman" w:hAnsi="Times New Roman"/>
          <w:b w:val="false"/>
          <w:i w:val="false"/>
          <w:color w:val="000000"/>
          <w:sz w:val="22"/>
        </w:rPr>
        <w:t>If the applicant does have an existing policy or contract, the producer shall present and read to the applicant, not later than at the time of taking the application, a notice regarding replacements in the form as described in Appendix A or other substantially similar form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be signed by both the applicant and the producer attesting that the notice has been read aloud by the producer or that the applicant did not wish the notice to be read aloud (in which case the producer need not have read the notice aloud) and that a copy of the notice was left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list all life insurance policies or annuities proposed to be replaced, properly identified by name of insurer, the insured or annuitant, and policy or contract number if available; and shall include a statement as to whether each policy or contract will be replaced or whether a policy will be used as a source of financing for the new policy. If a policy or contract number has not been issued by the existing insurer, alternative identification, such as an application or receipt number, shall be listed.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16.24(3)</w:t>
      </w:r>
      <w:r>
        <w:rPr>
          <w:rFonts w:ascii="Times New Roman" w:hAnsi="Times New Roman"/>
          <w:b w:val="false"/>
          <w:i w:val="false"/>
          <w:color w:val="000000"/>
          <w:sz w:val="22"/>
        </w:rPr>
        <w:t> </w:t>
      </w:r>
      <w:r>
        <w:rPr>
          <w:rFonts w:ascii="Times New Roman" w:hAnsi="Times New Roman"/>
          <w:b w:val="false"/>
          <w:i w:val="false"/>
          <w:color w:val="000000"/>
          <w:sz w:val="22"/>
        </w:rPr>
        <w:t>In connection with a replacement transaction, the producer shall leave with the applicant at the time an application for a new policy or contract is completed the original or a copy of all sales material. A copy of any electronically presented sales material shall be provided to the policyholder in printed form no later than at the time of policy or contract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16.24(4)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3">
        <w:r>
          <w:rPr>
            <w:rStyle w:val="Hyperlink"/>
            <w:rFonts w:ascii="Times New Roman" w:hAnsi="Times New Roman"/>
            <w:b w:val="false"/>
            <w:i w:val="false"/>
            <w:color w:val="000000"/>
            <w:sz w:val="22"/>
          </w:rPr>
          <w:t>16.26(3)</w:t>
        </w:r>
      </w:hyperlink>
      <w:r>
        <w:rPr>
          <w:rFonts w:ascii="Times New Roman" w:hAnsi="Times New Roman"/>
          <w:b w:val="false"/>
          <w:i w:val="false"/>
          <w:color w:val="000000"/>
          <w:sz w:val="22"/>
        </w:rPr>
        <w:t>, in connection with a replacement transaction, the producer shall submit to the insurer to which an application for a policy or contract is presented a copy of each document required by this subrule, a statement identifying any preprinted or electronically presented insurer-approved sales materials used, and copies of any individualized sales materials, including any illustrations related to the specific policy or contract 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191—16.25</w:t>
      </w:r>
      <w:r>
        <w:rPr>
          <w:rFonts w:ascii="Times New Roman" w:hAnsi="Times New Roman"/>
          <w:b/>
          <w:i w:val="false"/>
          <w:color w:val="000000"/>
          <w:sz w:val="22"/>
        </w:rPr>
        <w:t xml:space="preserve">(507B) </w:t>
      </w:r>
      <w:r>
        <w:rPr>
          <w:rFonts w:ascii="Times New Roman" w:hAnsi="Times New Roman"/>
          <w:b/>
          <w:i w:val="false"/>
          <w:color w:val="000000"/>
          <w:sz w:val="22"/>
        </w:rPr>
        <w:t xml:space="preserve">Duties of all insurers that use producers on or after January 1, 2001.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16.25(1)</w:t>
      </w:r>
      <w:r>
        <w:rPr>
          <w:rFonts w:ascii="Times New Roman" w:hAnsi="Times New Roman"/>
          <w:b w:val="false"/>
          <w:i w:val="false"/>
          <w:color w:val="000000"/>
          <w:sz w:val="22"/>
        </w:rPr>
        <w:t> </w:t>
      </w:r>
      <w:r>
        <w:rPr>
          <w:rFonts w:ascii="Times New Roman" w:hAnsi="Times New Roman"/>
          <w:b w:val="false"/>
          <w:i w:val="false"/>
          <w:color w:val="000000"/>
          <w:sz w:val="22"/>
        </w:rPr>
        <w:t>Each insurer that uses producers shall maintain a system of supervision and control to ensure compliance with the requirements of these rules that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Informing its producers of the requirements of these rules and incorporating the requirements of these rules into all relevant producer training manuals prepared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to each producer a written statement of the insurer’s position with respect to the acceptability of replacements, including providing guidance to its producer as to the appropriateness of these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Reviewing the appropriateness of each replacement transaction that the producer does not indicate is in accord with paragraph </w:t>
      </w:r>
      <w:hyperlink r:id="rId14">
        <w:r>
          <w:rPr>
            <w:rStyle w:val="Hyperlink"/>
            <w:rFonts w:ascii="Times New Roman" w:hAnsi="Times New Roman"/>
            <w:b w:val="false"/>
            <w:i w:val="false"/>
            <w:color w:val="000000"/>
            <w:sz w:val="22"/>
          </w:rPr>
          <w:t>16.25(1)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Confirming that the requirements of these rules have been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Detecting transactions that are replacements of existing policies or contracts by the existing insurer but that have not been reported as such by the applicant or producer. Compliance with this subrule may include, but shall not be limited to, systematic customer surveys, interviews, confirmation letters or programs of internal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16.25(2)</w:t>
      </w:r>
      <w:r>
        <w:rPr>
          <w:rFonts w:ascii="Times New Roman" w:hAnsi="Times New Roman"/>
          <w:b w:val="false"/>
          <w:i w:val="false"/>
          <w:color w:val="000000"/>
          <w:sz w:val="22"/>
        </w:rPr>
        <w:t> </w:t>
      </w:r>
      <w:r>
        <w:rPr>
          <w:rFonts w:ascii="Times New Roman" w:hAnsi="Times New Roman"/>
          <w:b w:val="false"/>
          <w:i w:val="false"/>
          <w:color w:val="000000"/>
          <w:sz w:val="22"/>
        </w:rPr>
        <w:t>Each insurer that uses producers shall have the capacity to monitor each producer’s life insurance policy and annuity contract replacements for that insurer and shall, upon request, make such records available to the insurance division. The capacity to monitor shall include the ability to produce records for each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replacements, including financed purchases, as a percentage of the producer’s total annual sales for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lapses of policies by the producer as a percentage of the producer’s total annual sales for life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Annuity contract replacements as a percentage of the producer’s total annual annuity contract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Number of transactions that are unreported replacements of existing policies or contracts by the existing insurer detected by the insurer’s monitoring system as required by paragraph </w:t>
      </w:r>
      <w:hyperlink r:id="rId15">
        <w:r>
          <w:rPr>
            <w:rStyle w:val="Hyperlink"/>
            <w:rFonts w:ascii="Times New Roman" w:hAnsi="Times New Roman"/>
            <w:b w:val="false"/>
            <w:i w:val="false"/>
            <w:color w:val="000000"/>
            <w:sz w:val="22"/>
          </w:rPr>
          <w:t>16.25(1)</w:t>
        </w:r>
      </w:hyperlink>
      <w:r>
        <w:rPr>
          <w:rFonts w:ascii="Times New Roman" w:hAnsi="Times New Roman"/>
          <w:b w:val="false"/>
          <w:i/>
          <w:color w:val="000000"/>
          <w:sz w:val="22"/>
        </w:rPr>
        <w:t>“e”</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Replacements, indexed by replacing producer and existing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16.25(3)</w:t>
      </w:r>
      <w:r>
        <w:rPr>
          <w:rFonts w:ascii="Times New Roman" w:hAnsi="Times New Roman"/>
          <w:b w:val="false"/>
          <w:i w:val="false"/>
          <w:color w:val="000000"/>
          <w:sz w:val="22"/>
        </w:rPr>
        <w:t> </w:t>
      </w:r>
      <w:r>
        <w:rPr>
          <w:rFonts w:ascii="Times New Roman" w:hAnsi="Times New Roman"/>
          <w:b w:val="false"/>
          <w:i w:val="false"/>
          <w:color w:val="000000"/>
          <w:sz w:val="22"/>
        </w:rPr>
        <w:t>Each insurer that uses producers shall require with or as a part of each application for life insurance or for an annuity a statement signed by both the applicant and the producer as to whether the applicant has existing policies or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16.25(4)</w:t>
      </w:r>
      <w:r>
        <w:rPr>
          <w:rFonts w:ascii="Times New Roman" w:hAnsi="Times New Roman"/>
          <w:b w:val="false"/>
          <w:i w:val="false"/>
          <w:color w:val="000000"/>
          <w:sz w:val="22"/>
        </w:rPr>
        <w:t> </w:t>
      </w:r>
      <w:r>
        <w:rPr>
          <w:rFonts w:ascii="Times New Roman" w:hAnsi="Times New Roman"/>
          <w:b w:val="false"/>
          <w:i w:val="false"/>
          <w:color w:val="000000"/>
          <w:sz w:val="22"/>
        </w:rPr>
        <w:t>Each insurer that uses producers shall require with each application for life insurance or for an annuity that indicates an existing policy or contract a completed notice regarding replacements as contained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16.25(5)</w:t>
      </w:r>
      <w:r>
        <w:rPr>
          <w:rFonts w:ascii="Times New Roman" w:hAnsi="Times New Roman"/>
          <w:b w:val="false"/>
          <w:i w:val="false"/>
          <w:color w:val="000000"/>
          <w:sz w:val="22"/>
        </w:rPr>
        <w:t> </w:t>
      </w:r>
      <w:r>
        <w:rPr>
          <w:rFonts w:ascii="Times New Roman" w:hAnsi="Times New Roman"/>
          <w:b w:val="false"/>
          <w:i w:val="false"/>
          <w:color w:val="000000"/>
          <w:sz w:val="22"/>
        </w:rPr>
        <w:t>When the applicant has existing policies or contracts, each replacing insurer that uses producers shall be able to produce completed and signed copies of the notice regarding replacements for at least five years after the termination or expiration of the proposed policy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16.25(6)</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connection with a replacement transaction, each replacing insurer that uses producers shall be able to produce copies of any sales material required by subrule </w:t>
      </w:r>
      <w:hyperlink r:id="rId16">
        <w:r>
          <w:rPr>
            <w:rStyle w:val="Hyperlink"/>
            <w:rFonts w:ascii="Times New Roman" w:hAnsi="Times New Roman"/>
            <w:b w:val="false"/>
            <w:i w:val="false"/>
            <w:color w:val="000000"/>
            <w:sz w:val="22"/>
          </w:rPr>
          <w:t>16.24(4)</w:t>
        </w:r>
      </w:hyperlink>
      <w:r>
        <w:rPr>
          <w:rFonts w:ascii="Times New Roman" w:hAnsi="Times New Roman"/>
          <w:b w:val="false"/>
          <w:i w:val="false"/>
          <w:color w:val="000000"/>
          <w:sz w:val="22"/>
        </w:rPr>
        <w:t>, the basic illustration and any supplemental illustrations related to the specific policy or contract that is purchased and the producer’s and applicant’s signed statements with respect to financing and replacement for at least five years after the termination or expiration of the proposed policy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insurer that uses producers shall ascertain that the sales material and illustrations required by subrule </w:t>
      </w:r>
      <w:hyperlink r:id="rId17">
        <w:r>
          <w:rPr>
            <w:rStyle w:val="Hyperlink"/>
            <w:rFonts w:ascii="Times New Roman" w:hAnsi="Times New Roman"/>
            <w:b w:val="false"/>
            <w:i w:val="false"/>
            <w:color w:val="000000"/>
            <w:sz w:val="22"/>
          </w:rPr>
          <w:t>16.24(4)</w:t>
        </w:r>
      </w:hyperlink>
      <w:r>
        <w:rPr>
          <w:rFonts w:ascii="Times New Roman" w:hAnsi="Times New Roman"/>
          <w:b w:val="false"/>
          <w:i w:val="false"/>
          <w:color w:val="000000"/>
          <w:sz w:val="22"/>
        </w:rPr>
        <w:t xml:space="preserve"> meet the requirements of these rules and are complete and accurate for the proposed policy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16.25(8)</w:t>
      </w:r>
      <w:r>
        <w:rPr>
          <w:rFonts w:ascii="Times New Roman" w:hAnsi="Times New Roman"/>
          <w:b w:val="false"/>
          <w:i w:val="false"/>
          <w:color w:val="000000"/>
          <w:sz w:val="22"/>
        </w:rPr>
        <w:t> </w:t>
      </w:r>
      <w:r>
        <w:rPr>
          <w:rFonts w:ascii="Times New Roman" w:hAnsi="Times New Roman"/>
          <w:b w:val="false"/>
          <w:i w:val="false"/>
          <w:color w:val="000000"/>
          <w:sz w:val="22"/>
        </w:rPr>
        <w:t>If an application does not meet the requirements of these rules, each insurer that uses producers shall notify the producer and applicant and fulfill the outstanding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16.25(9)</w:t>
      </w:r>
      <w:r>
        <w:rPr>
          <w:rFonts w:ascii="Times New Roman" w:hAnsi="Times New Roman"/>
          <w:b w:val="false"/>
          <w:i w:val="false"/>
          <w:color w:val="000000"/>
          <w:sz w:val="22"/>
        </w:rPr>
        <w:t> </w:t>
      </w:r>
      <w:r>
        <w:rPr>
          <w:rFonts w:ascii="Times New Roman" w:hAnsi="Times New Roman"/>
          <w:b w:val="false"/>
          <w:i w:val="false"/>
          <w:color w:val="000000"/>
          <w:sz w:val="22"/>
        </w:rPr>
        <w:t>Records required to be retained by this rule may be maintained by any process that accurately reproduces the actual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191—16.26</w:t>
      </w:r>
      <w:r>
        <w:rPr>
          <w:rFonts w:ascii="Times New Roman" w:hAnsi="Times New Roman"/>
          <w:b/>
          <w:i w:val="false"/>
          <w:color w:val="000000"/>
          <w:sz w:val="22"/>
        </w:rPr>
        <w:t xml:space="preserve">(507B) </w:t>
      </w:r>
      <w:r>
        <w:rPr>
          <w:rFonts w:ascii="Times New Roman" w:hAnsi="Times New Roman"/>
          <w:b/>
          <w:i w:val="false"/>
          <w:color w:val="000000"/>
          <w:sz w:val="22"/>
        </w:rPr>
        <w:t xml:space="preserve">Duties of replacing insurers that use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16.26(1)</w:t>
      </w:r>
      <w:r>
        <w:rPr>
          <w:rFonts w:ascii="Times New Roman" w:hAnsi="Times New Roman"/>
          <w:b w:val="false"/>
          <w:i w:val="false"/>
          <w:color w:val="000000"/>
          <w:sz w:val="22"/>
        </w:rPr>
        <w:t> </w:t>
      </w:r>
      <w:r>
        <w:rPr>
          <w:rFonts w:ascii="Times New Roman" w:hAnsi="Times New Roman"/>
          <w:b w:val="false"/>
          <w:i w:val="false"/>
          <w:color w:val="000000"/>
          <w:sz w:val="22"/>
        </w:rPr>
        <w:t>Where a replacement is involved in the transaction, the replacing insurer that uses producers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Verify that the required forms are received and are 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any other existing insurer that may be affected by the proposed replacement within five business days of receipt of a completed application indicating replacement or when the replacement is identified if not indicated on the application, and mail a copy of the available illustration or policy summary for the proposed policy or available disclosure document for the proposed contract within five business days of a request from an existing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able to produce copies of the notification regarding replacement required in subrule </w:t>
      </w:r>
      <w:hyperlink r:id="rId18">
        <w:r>
          <w:rPr>
            <w:rStyle w:val="Hyperlink"/>
            <w:rFonts w:ascii="Times New Roman" w:hAnsi="Times New Roman"/>
            <w:b w:val="false"/>
            <w:i w:val="false"/>
            <w:color w:val="000000"/>
            <w:sz w:val="22"/>
          </w:rPr>
          <w:t>16.24(2)</w:t>
        </w:r>
      </w:hyperlink>
      <w:r>
        <w:rPr>
          <w:rFonts w:ascii="Times New Roman" w:hAnsi="Times New Roman"/>
          <w:b w:val="false"/>
          <w:i w:val="false"/>
          <w:color w:val="000000"/>
          <w:sz w:val="22"/>
        </w:rPr>
        <w:t>, indexed by producer, for at least five years or until the next regular examination by the insurance department of an insurer’s state of domicile, whichever is later;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to the policy or contract owner notice of the right to return the policy or contract within 30 days of the delivery of the contract and receive an unconditional full refund of all premiums or considerations paid on it, including any policy fees or charges or, in the case of a variable or market value adjustment policy or contract, a payment of the cash surrender value provided under the policy or contract plus the fees and other charges deducted from the gross premiums or considerations or imposed under such policy or contract. The notice may be included in Appendix A or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16.26(2)</w:t>
      </w:r>
      <w:r>
        <w:rPr>
          <w:rFonts w:ascii="Times New Roman" w:hAnsi="Times New Roman"/>
          <w:b w:val="false"/>
          <w:i w:val="false"/>
          <w:color w:val="000000"/>
          <w:sz w:val="22"/>
        </w:rPr>
        <w:t> </w:t>
      </w:r>
      <w:r>
        <w:rPr>
          <w:rFonts w:ascii="Times New Roman" w:hAnsi="Times New Roman"/>
          <w:b w:val="false"/>
          <w:i w:val="false"/>
          <w:color w:val="000000"/>
          <w:sz w:val="22"/>
        </w:rPr>
        <w:t>Where a replacement is involved in the transaction and where the replacing insurer and the existing insurer are the same or subsidiaries or affiliates under common ownership or control, the replacing insurer shall allow credit for the period of time that has elapsed under the replaced policy’s or contract’s incontestability and suicide period up to the face amount of the existing policy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16.26(3)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replacement is involved in the transaction and where an insurer prohibits the use of sales material other than that approved by the insurer, the insurer may, as an alternative to the requirements of subrule </w:t>
      </w:r>
      <w:hyperlink r:id="rId19">
        <w:r>
          <w:rPr>
            <w:rStyle w:val="Hyperlink"/>
            <w:rFonts w:ascii="Times New Roman" w:hAnsi="Times New Roman"/>
            <w:b w:val="false"/>
            <w:i w:val="false"/>
            <w:color w:val="000000"/>
            <w:sz w:val="22"/>
          </w:rPr>
          <w:t>16.24(4)</w:t>
        </w:r>
      </w:hyperlink>
      <w:r>
        <w:rPr>
          <w:rFonts w:ascii="Times New Roman" w:hAnsi="Times New Roman"/>
          <w:b w:val="false"/>
          <w:i w:val="false"/>
          <w:color w:val="000000"/>
          <w:sz w:val="22"/>
        </w:rPr>
        <w:t xml:space="preserve">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of and obtain from the producer a signed statement with each application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Represents that the producer used only insurer-approved sales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Represents that copies of all sales material were left with the applicant in accordance with subrule </w:t>
      </w:r>
      <w:hyperlink r:id="rId20">
        <w:r>
          <w:rPr>
            <w:rStyle w:val="Hyperlink"/>
            <w:rFonts w:ascii="Times New Roman" w:hAnsi="Times New Roman"/>
            <w:b w:val="false"/>
            <w:i w:val="false"/>
            <w:color w:val="000000"/>
            <w:sz w:val="22"/>
          </w:rPr>
          <w:t>16.24(3)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following to the applicant by a letter or by verbal communication, by a person whose duties are separate from the marketing area of the insurer, within ten days of the issuance of the policy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the producer has represented that copies of all sales material have been left with the applicant in accordance with subrule </w:t>
      </w:r>
      <w:hyperlink r:id="rId21">
        <w:r>
          <w:rPr>
            <w:rStyle w:val="Hyperlink"/>
            <w:rFonts w:ascii="Times New Roman" w:hAnsi="Times New Roman"/>
            <w:b w:val="false"/>
            <w:i w:val="false"/>
            <w:color w:val="000000"/>
            <w:sz w:val="22"/>
          </w:rPr>
          <w:t>16.24(3)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toll-free number by which the applicant can contact company personnel involved in the compliance function if copies of all sales material were not left with the applicant;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importance of retaining copies of the sales material for future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able to produce a copy of the letter or other verification obtained pursuant to this subrule in the policy file for at least five years after the termination or expiration of the policy or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191—16.27</w:t>
      </w:r>
      <w:r>
        <w:rPr>
          <w:rFonts w:ascii="Times New Roman" w:hAnsi="Times New Roman"/>
          <w:b/>
          <w:i w:val="false"/>
          <w:color w:val="000000"/>
          <w:sz w:val="22"/>
        </w:rPr>
        <w:t xml:space="preserve">(507B) </w:t>
      </w:r>
      <w:r>
        <w:rPr>
          <w:rFonts w:ascii="Times New Roman" w:hAnsi="Times New Roman"/>
          <w:b/>
          <w:i w:val="false"/>
          <w:color w:val="000000"/>
          <w:sz w:val="22"/>
        </w:rPr>
        <w:t xml:space="preserve">Duties of the existing insurer. </w:t>
      </w:r>
      <w:r>
        <w:rPr>
          <w:rFonts w:ascii="Times New Roman" w:hAnsi="Times New Roman"/>
          <w:b w:val="false"/>
          <w:i w:val="false"/>
          <w:color w:val="000000"/>
          <w:sz w:val="22"/>
        </w:rPr>
        <w:t>Where a replacement is involved in the transaction, the existing insurer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16.27(1)</w:t>
      </w:r>
      <w:r>
        <w:rPr>
          <w:rFonts w:ascii="Times New Roman" w:hAnsi="Times New Roman"/>
          <w:b w:val="false"/>
          <w:i w:val="false"/>
          <w:color w:val="000000"/>
          <w:sz w:val="22"/>
        </w:rPr>
        <w:t> </w:t>
      </w:r>
      <w:r>
        <w:rPr>
          <w:rFonts w:ascii="Times New Roman" w:hAnsi="Times New Roman"/>
          <w:b w:val="false"/>
          <w:i w:val="false"/>
          <w:color w:val="000000"/>
          <w:sz w:val="22"/>
        </w:rPr>
        <w:t>Retain and be able to produce all replacement notifications received, indexed by replacing insurer, for at least five years or until the conclusion of the next regular examination conducted by the insurance department of its state of domicile,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16.27(2)</w:t>
      </w:r>
      <w:r>
        <w:rPr>
          <w:rFonts w:ascii="Times New Roman" w:hAnsi="Times New Roman"/>
          <w:b w:val="false"/>
          <w:i w:val="false"/>
          <w:color w:val="000000"/>
          <w:sz w:val="22"/>
        </w:rPr>
        <w:t> </w:t>
      </w:r>
      <w:r>
        <w:rPr>
          <w:rFonts w:ascii="Times New Roman" w:hAnsi="Times New Roman"/>
          <w:b w:val="false"/>
          <w:i w:val="false"/>
          <w:color w:val="000000"/>
          <w:sz w:val="22"/>
        </w:rPr>
        <w:t>Send a letter to the policy or contract owner notifying the owner of the right to receive information regarding the existing policy or contract values including, if available, an in-force illustration or policy summary if an in-force illustration cannot be produced within five business days of receipt of a notice that an existing policy or contract is being replaced. The information shall be provided within five business days of receipt of the request from the policy or contract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16.27(3)</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to borrow, surrender or withdraw any policy values, send to the applicant a notice, advising the policyowner that the release of policy values may affect the guaranteed elements, nonguaranteed elements, face amount or surrender value of the policy from which the values are released. The notice shall be sent separate from the check if the check is sent to anyone other than the policyowner.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191—16.28</w:t>
      </w:r>
      <w:r>
        <w:rPr>
          <w:rFonts w:ascii="Times New Roman" w:hAnsi="Times New Roman"/>
          <w:b/>
          <w:i w:val="false"/>
          <w:color w:val="000000"/>
          <w:sz w:val="22"/>
        </w:rPr>
        <w:t xml:space="preserve">(507B) </w:t>
      </w:r>
      <w:r>
        <w:rPr>
          <w:rFonts w:ascii="Times New Roman" w:hAnsi="Times New Roman"/>
          <w:b/>
          <w:i w:val="false"/>
          <w:color w:val="000000"/>
          <w:sz w:val="22"/>
        </w:rPr>
        <w:t xml:space="preserve">Duties of insurers with respect to direct-response solicitations.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16.28(1)</w:t>
      </w:r>
      <w:r>
        <w:rPr>
          <w:rFonts w:ascii="Times New Roman" w:hAnsi="Times New Roman"/>
          <w:b w:val="false"/>
          <w:i w:val="false"/>
          <w:color w:val="000000"/>
          <w:sz w:val="22"/>
        </w:rPr>
        <w:t> </w:t>
      </w:r>
      <w:r>
        <w:rPr>
          <w:rFonts w:ascii="Times New Roman" w:hAnsi="Times New Roman"/>
          <w:b w:val="false"/>
          <w:i w:val="false"/>
          <w:color w:val="000000"/>
          <w:sz w:val="22"/>
        </w:rPr>
        <w:t>In the case of an application that is initiated as a result of a direct-response solicitation, the insurer shall require, with or as part of each completed application for a policy or contract, a statement asking whether the applicant, by applying for the proposed policy or contract, intends to replace, discontinue or change an existing policy or contract. If the applicant indicates a replacement or change is not intended or if the applicant fails to respond to the statement, the insurer shall send the applicant, with the policy or contract, the notice regarding replacement in Appendix B, or other substantially similar form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16.28(2)</w:t>
      </w:r>
      <w:r>
        <w:rPr>
          <w:rFonts w:ascii="Times New Roman" w:hAnsi="Times New Roman"/>
          <w:b w:val="false"/>
          <w:i w:val="false"/>
          <w:color w:val="000000"/>
          <w:sz w:val="22"/>
        </w:rPr>
        <w:t> </w:t>
      </w:r>
      <w:r>
        <w:rPr>
          <w:rFonts w:ascii="Times New Roman" w:hAnsi="Times New Roman"/>
          <w:b w:val="false"/>
          <w:i w:val="false"/>
          <w:color w:val="000000"/>
          <w:sz w:val="22"/>
        </w:rPr>
        <w:t>If the insurer has proposed the replacement or if the applicant indicates a replacement is intended and the insurer continues with the replacement, the insurer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to applicants or prospective applicants with the policy or contract a notice, as described in Appendix C, or other substantially similar form approved by the commissioner. In these instances, the insurer may delete the references to the producer, including the producer’s signature, and references not applicable to the product being sold or replaced, without having to obtain approval of the form from the commissioner. The insurer’s obligation to obtain the applicant’s signature shall be satisfied if the insurer can demonstrate that the insurer has made a diligent effort to secure a signed copy of the notice referred to in this paragraph. The requirement to make a diligent effort shall be deemed satisfied if the insurer includes in the mailing a self-addressed, postage prepaid envelope with instructions for the return of the signed notice referred to in this subrule;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paragraph </w:t>
      </w:r>
      <w:hyperlink r:id="rId22">
        <w:r>
          <w:rPr>
            <w:rStyle w:val="Hyperlink"/>
            <w:rFonts w:ascii="Times New Roman" w:hAnsi="Times New Roman"/>
            <w:b w:val="false"/>
            <w:i w:val="false"/>
            <w:color w:val="000000"/>
            <w:sz w:val="22"/>
          </w:rPr>
          <w:t>16.26(1)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applicant furnishes the names of the existing insurers, and the requirements of paragraphs </w:t>
      </w:r>
      <w:hyperlink r:id="rId23">
        <w:r>
          <w:rPr>
            <w:rStyle w:val="Hyperlink"/>
            <w:rFonts w:ascii="Times New Roman" w:hAnsi="Times New Roman"/>
            <w:b w:val="false"/>
            <w:i w:val="false"/>
            <w:color w:val="000000"/>
            <w:sz w:val="22"/>
          </w:rPr>
          <w:t>16.26(1)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subrule </w:t>
      </w:r>
      <w:hyperlink r:id="rId24">
        <w:r>
          <w:rPr>
            <w:rStyle w:val="Hyperlink"/>
            <w:rFonts w:ascii="Times New Roman" w:hAnsi="Times New Roman"/>
            <w:b w:val="false"/>
            <w:i w:val="false"/>
            <w:color w:val="000000"/>
            <w:sz w:val="22"/>
          </w:rPr>
          <w:t>16.26(2)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191—16.29</w:t>
      </w:r>
      <w:r>
        <w:rPr>
          <w:rFonts w:ascii="Times New Roman" w:hAnsi="Times New Roman"/>
          <w:b/>
          <w:i w:val="false"/>
          <w:color w:val="000000"/>
          <w:sz w:val="22"/>
        </w:rPr>
        <w:t xml:space="preserve">(507B) </w:t>
      </w:r>
      <w:r>
        <w:rPr>
          <w:rFonts w:ascii="Times New Roman" w:hAnsi="Times New Roman"/>
          <w:b/>
          <w:i w:val="false"/>
          <w:color w:val="000000"/>
          <w:sz w:val="22"/>
        </w:rPr>
        <w:t xml:space="preserve">Violations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16.29(1)</w:t>
      </w:r>
      <w:r>
        <w:rPr>
          <w:rFonts w:ascii="Times New Roman" w:hAnsi="Times New Roman"/>
          <w:b w:val="false"/>
          <w:i w:val="false"/>
          <w:color w:val="000000"/>
          <w:sz w:val="22"/>
        </w:rPr>
        <w:t> </w:t>
      </w:r>
      <w:r>
        <w:rPr>
          <w:rFonts w:ascii="Times New Roman" w:hAnsi="Times New Roman"/>
          <w:b w:val="false"/>
          <w:i w:val="false"/>
          <w:color w:val="000000"/>
          <w:sz w:val="22"/>
        </w:rPr>
        <w:t xml:space="preserve">Any failure to comply with these rules shall be considered a violation of rules </w:t>
      </w:r>
      <w:hyperlink r:id="rId25">
        <w:r>
          <w:rPr>
            <w:rStyle w:val="Hyperlink"/>
            <w:rFonts w:ascii="Times New Roman" w:hAnsi="Times New Roman"/>
            <w:b w:val="false"/>
            <w:i w:val="false"/>
            <w:color w:val="000000"/>
            <w:sz w:val="22"/>
          </w:rPr>
          <w:t>191—15.7(507B)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191—15.8(507B)</w:t>
        </w:r>
      </w:hyperlink>
      <w:r>
        <w:rPr>
          <w:rFonts w:ascii="Times New Roman" w:hAnsi="Times New Roman"/>
          <w:b w:val="false"/>
          <w:i w:val="false"/>
          <w:color w:val="000000"/>
          <w:sz w:val="22"/>
        </w:rPr>
        <w:t>. Examples of violations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deceptive or misleading information set forth in sales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ask the applicant in completing the application the pertinent questions regarding the possibility of financing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intentional incorrect recording of an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Advising an applicant to respond negatively to any question regarding replacement in order to prevent notice to the existing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Advising a policy or contract owner to write directly to the insurer in such a way as to attempt to obscure the identity of the replacing producer or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16.29(2)</w:t>
      </w:r>
      <w:r>
        <w:rPr>
          <w:rFonts w:ascii="Times New Roman" w:hAnsi="Times New Roman"/>
          <w:b w:val="false"/>
          <w:i w:val="false"/>
          <w:color w:val="000000"/>
          <w:sz w:val="22"/>
        </w:rPr>
        <w:t> </w:t>
      </w:r>
      <w:r>
        <w:rPr>
          <w:rFonts w:ascii="Times New Roman" w:hAnsi="Times New Roman"/>
          <w:b w:val="false"/>
          <w:i w:val="false"/>
          <w:color w:val="000000"/>
          <w:sz w:val="22"/>
        </w:rPr>
        <w:t>Policy and contract owners have the right to replace existing life insurance policies or annuity contracts after indicating in or as a part of applications for new coverage that replacement is not their intention; however, patterns of such action by policy or contract owners of the same producer shall be deemed prima facie evidence of the producer’s knowledge that replacement was intended in connection with the identified transactions, and these patterns of action shall be deemed prima facie evidence of the producer’s intent to violate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16.29(3)</w:t>
      </w:r>
      <w:r>
        <w:rPr>
          <w:rFonts w:ascii="Times New Roman" w:hAnsi="Times New Roman"/>
          <w:b w:val="false"/>
          <w:i w:val="false"/>
          <w:color w:val="000000"/>
          <w:sz w:val="22"/>
        </w:rPr>
        <w:t> </w:t>
      </w:r>
      <w:r>
        <w:rPr>
          <w:rFonts w:ascii="Times New Roman" w:hAnsi="Times New Roman"/>
          <w:b w:val="false"/>
          <w:i w:val="false"/>
          <w:color w:val="000000"/>
          <w:sz w:val="22"/>
        </w:rPr>
        <w:t>Where it is determined that the requirements of these rules have not been met, the replacing insurer shall provide to the policy owner an in-force illustration if available or policy summary for the replacement policy or available disclosure document for the replacement contract and the appropriate notice regarding replacements in Appendix A or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16.29(4)</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these rules shall subject the violators to penalties that may include the revocation or suspension of a producer’s or insurer’s license, monetary fines, the forfeiture of any commissions or compensation paid to a producer as a result of the transaction in connection with which the violations occurred, or any other penalties authorized by Iowa Code chapter </w:t>
      </w:r>
      <w:hyperlink r:id="rId27">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191—Chapter 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191—16.30</w:t>
      </w:r>
      <w:r>
        <w:rPr>
          <w:rFonts w:ascii="Times New Roman" w:hAnsi="Times New Roman"/>
          <w:b/>
          <w:i w:val="false"/>
          <w:color w:val="000000"/>
          <w:sz w:val="22"/>
        </w:rPr>
        <w:t xml:space="preserve">(507B)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rule or portion of a rule of this division, or its applicability to any person or circumstances, is held invalid by a court, the remainder of this division, or the applicability of its provisions to other persons, shall not be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7735C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APPENDIX A</w:t>
      </w:r>
    </w:p>
    <w:p>
      <w:pPr>
        <w:spacing w:before="0" w:after="0"/>
        <w:ind w:left="120"/>
        <w:jc w:val="center"/>
      </w:pPr>
      <w:r>
        <w:rPr>
          <w:rFonts w:ascii="Times New Roman" w:hAnsi="Times New Roman"/>
          <w:b/>
          <w:i w:val="false"/>
          <w:color w:val="000000"/>
          <w:sz w:val="22"/>
        </w:rPr>
        <w:t>IMPORTANT NOTICE:</w:t>
      </w:r>
    </w:p>
    <w:p>
      <w:pPr>
        <w:spacing w:before="0" w:after="0"/>
        <w:ind w:left="120"/>
        <w:jc w:val="center"/>
      </w:pPr>
      <w:r>
        <w:rPr>
          <w:rFonts w:ascii="Times New Roman" w:hAnsi="Times New Roman"/>
          <w:b/>
          <w:i w:val="false"/>
          <w:color w:val="000000"/>
          <w:sz w:val="22"/>
        </w:rPr>
        <w:t>REPLACEMENT OF LIFE INSURANCE OR ANNUITIES</w:t>
      </w:r>
    </w:p>
    <w:p>
      <w:pPr>
        <w:spacing w:before="0" w:after="0"/>
        <w:ind w:left="120"/>
        <w:jc w:val="center"/>
      </w:pPr>
      <w:r>
        <w:rPr>
          <w:rFonts w:ascii="Times New Roman" w:hAnsi="Times New Roman"/>
          <w:b w:val="false"/>
          <w:i w:val="false"/>
          <w:color w:val="000000"/>
          <w:sz w:val="22"/>
        </w:rPr>
        <w:t>This document must be signed by the applicant and the producer, if there is one,</w:t>
      </w:r>
    </w:p>
    <w:p>
      <w:pPr>
        <w:spacing w:before="0" w:after="0"/>
        <w:ind w:left="120"/>
        <w:jc w:val="center"/>
      </w:pPr>
      <w:r>
        <w:rPr>
          <w:rFonts w:ascii="Times New Roman" w:hAnsi="Times New Roman"/>
          <w:b w:val="false"/>
          <w:i w:val="false"/>
          <w:color w:val="000000"/>
          <w:sz w:val="22"/>
        </w:rPr>
        <w:t>and a copy left with the applicant.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are contemplating the purchase of a life insurance policy or annuity contract. In some cases this purchase may involve discontinuing or changing an existing policy or contract. If so, a replacement is occurring. Financed purchases are also considered replacements.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replacement occurs when a new policy or contract is purchased and, in connection with the sale, you discontinue making premium payments on the existing policy or contract, or an existing policy or contract is surrendered, forfeited, assigned to the replacing insurer, or otherwise terminated or used in a financed purchase.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financed purchase occurs when the purchase of a new life insurance policy involves the use of funds obtained by the withdrawal or surrender of or by borrowing some or all of the policy values, including accumulated dividends, of an existing policy, to pay all or part of any premium or payment due on the new policy. A financed purchase is a replacement.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should carefully consider whether a replacement is in your best interest. You will pay acquisition costs and there may be surrender costs deducted from your policy or contract. You may be able to make changes to your existing policy or contract to meet your insurance needs at less cost. A financed purchase will reduce the value of your existing policy and may reduce the amount paid upon the death of the insured.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We want you to understand the effects of replacements before you make your purchase decision and ask that you answer the following questions and consider the questions on the back of this form.</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Are you considering discontinuing making premium payments, surrendering, forfeiting, assigning to the insurer, or otherwise terminating your existing policy or contract? ___ YES ___ NO</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Are you considering using funds from your existing policies or contracts to pay premiums due on the new policy or contract? ___ YES ___ NO</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you answered “yes” to either of the above questions, list each existing policy or contract you are contemplating replacing (include the name of the insurer, the insured, and the contract number if available) and whether each policy will be replaced or used as a source of financing:</w:t>
      </w:r>
    </w:p>
    <w:tbl>
      <w:tblPr>
        <w:tblW w:w="5000" w:type="pct"/>
        <w:tblCellSpacing w:w="0" w:type="auto"/>
        <w:tblBorders>
          <w:top w:val="none"/>
          <w:left w:val="none"/>
          <w:bottom w:val="none"/>
          <w:right w:val="none"/>
          <w:insideH w:val="none"/>
          <w:insideV w:val="none"/>
        </w:tblBorders>
        <w:tblLayout w:type="fixed"/>
      </w:tblPr>
      <w:tblGrid>
        <w:gridCol w:w="2798"/>
        <w:gridCol w:w="2797"/>
        <w:gridCol w:w="2797"/>
        <w:gridCol w:w="2797"/>
      </w:tblGrid>
      <w:tr>
        <w:trPr>
          <w:trHeight w:val="390" w:hRule="atLeast"/>
        </w:trPr>
        <w:tc>
          <w:tcPr>
            <w:tcW w:w="27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INSURER</w:t>
            </w:r>
          </w:p>
          <w:p>
            <w:pPr>
              <w:spacing w:before="0" w:after="0"/>
              <w:ind w:left="160"/>
              <w:jc w:val="left"/>
            </w:pPr>
            <w:r>
              <w:rPr>
                <w:rFonts w:ascii="Times New Roman" w:hAnsi="Times New Roman"/>
                <w:b w:val="false"/>
                <w:i w:val="false"/>
                <w:color w:val="000000"/>
                <w:sz w:val="16"/>
              </w:rPr>
              <w:t>NAME</w:t>
            </w:r>
          </w:p>
        </w:tc>
        <w:tc>
          <w:tcPr>
            <w:tcW w:w="27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CONTRACT OR</w:t>
            </w:r>
          </w:p>
          <w:p>
            <w:pPr>
              <w:spacing w:before="0" w:after="0"/>
              <w:ind w:left="160"/>
              <w:jc w:val="left"/>
            </w:pPr>
            <w:r>
              <w:rPr>
                <w:rFonts w:ascii="Times New Roman" w:hAnsi="Times New Roman"/>
                <w:b w:val="false"/>
                <w:i w:val="false"/>
                <w:color w:val="000000"/>
                <w:sz w:val="16"/>
              </w:rPr>
              <w:t>POLICY #</w:t>
            </w:r>
          </w:p>
        </w:tc>
        <w:tc>
          <w:tcPr>
            <w:tcW w:w="27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INSURED</w:t>
            </w:r>
          </w:p>
        </w:tc>
        <w:tc>
          <w:tcPr>
            <w:tcW w:w="27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REPLACED (R) OR</w:t>
            </w:r>
          </w:p>
          <w:p>
            <w:pPr>
              <w:spacing w:before="0" w:after="0"/>
              <w:ind w:left="160"/>
              <w:jc w:val="left"/>
            </w:pPr>
            <w:r>
              <w:rPr>
                <w:rFonts w:ascii="Times New Roman" w:hAnsi="Times New Roman"/>
                <w:b w:val="false"/>
                <w:i w:val="false"/>
                <w:color w:val="000000"/>
                <w:sz w:val="16"/>
              </w:rPr>
              <w:t>FINANCING (F)</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Make sure you know the facts. Contact your existing company or its agent for information about the old policy or contract. [If you request one, an in-force illustration, policy summary or available disclosure document must be sent to you by the existing insurer.] Ask for and retain all sales material used by the agent in the sales presentation. Be sure that you are making an informed decision.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existing policy or contract is being replaced because___________________________________.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certify that the responses herein are, to the best of my knowledge, accurate: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8041"/>
        <w:gridCol w:w="441"/>
        <w:gridCol w:w="2708"/>
      </w:tblGrid>
      <w:tr>
        <w:trPr>
          <w:trHeight w:val="270" w:hRule="atLeast"/>
        </w:trPr>
        <w:tc>
          <w:tcPr>
            <w:tcW w:w="8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05" w:hRule="atLeast"/>
        </w:trPr>
        <w:tc>
          <w:tcPr>
            <w:tcW w:w="804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Applicant’s Signature and Printed Name</w:t>
            </w:r>
          </w:p>
          <w:p>
            <w:pPr>
              <w:spacing w:before="0" w:after="0"/>
              <w:ind w:left="16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r>
        <w:trPr>
          <w:trHeight w:val="390" w:hRule="atLeast"/>
        </w:trPr>
        <w:tc>
          <w:tcPr>
            <w:tcW w:w="804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Producer’s Signature and Printed Name</w:t>
            </w:r>
          </w:p>
          <w:p>
            <w:pPr>
              <w:spacing w:before="0" w:after="0"/>
              <w:ind w:left="16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I do not want this notice read aloud to me. ________ (Applicants must initial only if they do not want the notice read aloud.)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replacement may not be in your best interest, or your decision could be a good one. You should make a careful comparison of the costs and benefits of your existing policy or contract and the proposed policy or contract. One way to do this is to ask the company or agent that sold you your existing policy or contract to provide you with information concerning your existing policy or contract. This may include an illustration of how your existing policy or contract is working now and how it would perform in the future based on certain assumptions. Illustrations should not, however, be used as a sole basis to compare policies or contracts. You should discuss the following with your agent to determine whether replacement or financing your purchase makes sense: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934"/>
        <w:gridCol w:w="8533"/>
      </w:tblGrid>
      <w:tr>
        <w:trPr>
          <w:trHeight w:val="1200" w:hRule="atLeast"/>
        </w:trPr>
        <w:tc>
          <w:tcPr>
            <w:tcW w:w="2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PREMIUMS:</w:t>
            </w:r>
          </w:p>
        </w:tc>
        <w:tc>
          <w:tcPr>
            <w:tcW w:w="8533"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21"/>
              </w:rPr>
              <w:t>Are they affordable?</w:t>
            </w:r>
          </w:p>
          <w:p>
            <w:pPr>
              <w:spacing w:before="0" w:after="0"/>
              <w:ind w:left="448"/>
              <w:jc w:val="left"/>
            </w:pPr>
            <w:r>
              <w:rPr>
                <w:rFonts w:ascii="Times New Roman" w:hAnsi="Times New Roman"/>
                <w:b w:val="false"/>
                <w:i w:val="false"/>
                <w:color w:val="000000"/>
                <w:sz w:val="21"/>
              </w:rPr>
              <w:t>Could they change?</w:t>
            </w:r>
          </w:p>
          <w:p>
            <w:pPr>
              <w:spacing w:before="0" w:after="0"/>
              <w:ind w:left="448"/>
              <w:jc w:val="left"/>
            </w:pPr>
            <w:r>
              <w:rPr>
                <w:rFonts w:ascii="Times New Roman" w:hAnsi="Times New Roman"/>
                <w:b w:val="false"/>
                <w:i w:val="false"/>
                <w:color w:val="000000"/>
                <w:sz w:val="21"/>
              </w:rPr>
              <w:t>You’re older—are premiums higher for the proposed new policy?</w:t>
            </w:r>
          </w:p>
          <w:p>
            <w:pPr>
              <w:spacing w:before="0" w:after="0"/>
              <w:ind w:left="448"/>
              <w:jc w:val="left"/>
            </w:pPr>
            <w:r>
              <w:rPr>
                <w:rFonts w:ascii="Times New Roman" w:hAnsi="Times New Roman"/>
                <w:b w:val="false"/>
                <w:i w:val="false"/>
                <w:color w:val="000000"/>
                <w:sz w:val="21"/>
              </w:rPr>
              <w:t>How long will you have to pay premiums on the new policy? On the old policy?</w:t>
            </w:r>
          </w:p>
        </w:tc>
      </w:tr>
      <w:tr>
        <w:trPr>
          <w:trHeight w:val="1680" w:hRule="atLeast"/>
        </w:trPr>
        <w:tc>
          <w:tcPr>
            <w:tcW w:w="2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POLICY VALUES:</w:t>
            </w:r>
          </w:p>
        </w:tc>
        <w:tc>
          <w:tcPr>
            <w:tcW w:w="8533"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21"/>
              </w:rPr>
              <w:t>New policies usually take longer to build cash values and to pay dividends.</w:t>
            </w:r>
          </w:p>
          <w:p>
            <w:pPr>
              <w:spacing w:before="0" w:after="0"/>
              <w:ind w:left="448"/>
              <w:jc w:val="left"/>
            </w:pPr>
            <w:r>
              <w:rPr>
                <w:rFonts w:ascii="Times New Roman" w:hAnsi="Times New Roman"/>
                <w:b w:val="false"/>
                <w:i w:val="false"/>
                <w:color w:val="000000"/>
                <w:sz w:val="21"/>
              </w:rPr>
              <w:t>Acquisition costs for the old policy may have been paid; you will incur costs for the new one.</w:t>
            </w:r>
          </w:p>
          <w:p>
            <w:pPr>
              <w:spacing w:before="0" w:after="0"/>
              <w:ind w:left="448"/>
              <w:jc w:val="left"/>
            </w:pPr>
            <w:r>
              <w:rPr>
                <w:rFonts w:ascii="Times New Roman" w:hAnsi="Times New Roman"/>
                <w:b w:val="false"/>
                <w:i w:val="false"/>
                <w:color w:val="000000"/>
                <w:sz w:val="21"/>
              </w:rPr>
              <w:t>What surrender charges do the policies have?</w:t>
            </w:r>
          </w:p>
          <w:p>
            <w:pPr>
              <w:spacing w:before="0" w:after="0"/>
              <w:ind w:left="448"/>
              <w:jc w:val="left"/>
            </w:pPr>
            <w:r>
              <w:rPr>
                <w:rFonts w:ascii="Times New Roman" w:hAnsi="Times New Roman"/>
                <w:b w:val="false"/>
                <w:i w:val="false"/>
                <w:color w:val="000000"/>
                <w:sz w:val="21"/>
              </w:rPr>
              <w:t>What expense and sales charges will you pay on the new policy?</w:t>
            </w:r>
          </w:p>
          <w:p>
            <w:pPr>
              <w:spacing w:before="0" w:after="0"/>
              <w:ind w:left="448"/>
              <w:jc w:val="left"/>
            </w:pPr>
            <w:r>
              <w:rPr>
                <w:rFonts w:ascii="Times New Roman" w:hAnsi="Times New Roman"/>
                <w:b w:val="false"/>
                <w:i w:val="false"/>
                <w:color w:val="000000"/>
                <w:sz w:val="21"/>
              </w:rPr>
              <w:t>Does the new policy provide more insurance coverage?</w:t>
            </w:r>
          </w:p>
        </w:tc>
      </w:tr>
      <w:tr>
        <w:trPr>
          <w:trHeight w:val="1440" w:hRule="atLeast"/>
        </w:trPr>
        <w:tc>
          <w:tcPr>
            <w:tcW w:w="2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INSURABILITY:</w:t>
            </w:r>
          </w:p>
        </w:tc>
        <w:tc>
          <w:tcPr>
            <w:tcW w:w="8533"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21"/>
              </w:rPr>
              <w:t>If your health has changed since you bought your old policy, the new one could cost you more, or you could be turned down.</w:t>
            </w:r>
          </w:p>
          <w:p>
            <w:pPr>
              <w:spacing w:before="0" w:after="0"/>
              <w:ind w:left="448"/>
              <w:jc w:val="left"/>
            </w:pPr>
            <w:r>
              <w:rPr>
                <w:rFonts w:ascii="Times New Roman" w:hAnsi="Times New Roman"/>
                <w:b w:val="false"/>
                <w:i w:val="false"/>
                <w:color w:val="000000"/>
                <w:sz w:val="21"/>
              </w:rPr>
              <w:t>You may need a medical exam for a new policy.</w:t>
            </w:r>
          </w:p>
          <w:p>
            <w:pPr>
              <w:spacing w:before="0" w:after="0"/>
              <w:ind w:left="448"/>
              <w:jc w:val="left"/>
            </w:pPr>
            <w:r>
              <w:rPr>
                <w:rFonts w:ascii="Times New Roman" w:hAnsi="Times New Roman"/>
                <w:b w:val="false"/>
                <w:i w:val="false"/>
                <w:color w:val="000000"/>
                <w:sz w:val="21"/>
              </w:rPr>
              <w:t>[Claims on most new policies for up to the first two years can be denied based on inaccurate statements. Suicide limitations may begin anew on the new coverage.]</w:t>
            </w:r>
          </w:p>
        </w:tc>
      </w:tr>
    </w:tbl>
    <w:p>
      <w:pPr>
        <w:spacing w:before="0" w:after="0"/>
        <w:ind w:left="120"/>
        <w:jc w:val="both"/>
      </w:pPr>
      <w:r>
        <w:rPr>
          <w:rFonts w:ascii="Times New Roman" w:hAnsi="Times New Roman"/>
          <w:b w:val="false"/>
          <w:i w:val="false"/>
          <w:color w:val="000000"/>
          <w:sz w:val="18"/>
        </w:rPr>
        <w:t>IF YOU ARE KEEPING THE OLD POLICY AS WELL AS THE NEW POLICY:</w:t>
      </w:r>
    </w:p>
    <w:p>
      <w:pPr>
        <w:spacing w:before="0" w:after="0"/>
        <w:ind w:left="120"/>
        <w:jc w:val="both"/>
      </w:pPr>
      <w:r>
        <w:rPr>
          <w:rFonts w:ascii="Times New Roman" w:hAnsi="Times New Roman"/>
          <w:b w:val="false"/>
          <w:i w:val="false"/>
          <w:color w:val="000000"/>
          <w:sz w:val="22"/>
        </w:rPr>
        <w:t xml:space="preserve"> How are premiums for both policies being paid?</w:t>
      </w:r>
    </w:p>
    <w:p>
      <w:pPr>
        <w:spacing w:before="0" w:after="0"/>
        <w:ind w:left="120"/>
        <w:jc w:val="both"/>
      </w:pPr>
      <w:r>
        <w:rPr>
          <w:rFonts w:ascii="Times New Roman" w:hAnsi="Times New Roman"/>
          <w:b w:val="false"/>
          <w:i w:val="false"/>
          <w:color w:val="000000"/>
          <w:sz w:val="22"/>
        </w:rPr>
        <w:t xml:space="preserve"> How will the premiums on your existing policy be affected?</w:t>
      </w:r>
    </w:p>
    <w:p>
      <w:pPr>
        <w:spacing w:before="0" w:after="0"/>
        <w:ind w:left="120"/>
        <w:jc w:val="both"/>
      </w:pPr>
      <w:r>
        <w:rPr>
          <w:rFonts w:ascii="Times New Roman" w:hAnsi="Times New Roman"/>
          <w:b w:val="false"/>
          <w:i w:val="false"/>
          <w:color w:val="000000"/>
          <w:sz w:val="22"/>
        </w:rPr>
        <w:t xml:space="preserve"> Will a loan be deducted from death benefits?</w:t>
      </w:r>
    </w:p>
    <w:p>
      <w:pPr>
        <w:spacing w:before="0" w:after="0"/>
        <w:ind w:left="120"/>
        <w:jc w:val="both"/>
      </w:pPr>
      <w:r>
        <w:rPr>
          <w:rFonts w:ascii="Times New Roman" w:hAnsi="Times New Roman"/>
          <w:b w:val="false"/>
          <w:i w:val="false"/>
          <w:color w:val="000000"/>
          <w:sz w:val="22"/>
        </w:rPr>
        <w:t xml:space="preserve"> What values from the old policy are being used to pay premiums?</w:t>
      </w:r>
    </w:p>
    <w:p>
      <w:pPr>
        <w:spacing w:before="0" w:after="0"/>
        <w:ind w:left="120"/>
        <w:jc w:val="both"/>
      </w:pPr>
      <w:r>
        <w:rPr>
          <w:rFonts w:ascii="Times New Roman" w:hAnsi="Times New Roman"/>
          <w:b w:val="false"/>
          <w:i w:val="false"/>
          <w:color w:val="000000"/>
          <w:sz w:val="18"/>
        </w:rPr>
        <w:t>IF YOU ARE SURRENDERING AN ANNUITY OR INTEREST SENSITIVE LIFE PRODUCT:</w:t>
      </w:r>
    </w:p>
    <w:p>
      <w:pPr>
        <w:spacing w:before="0" w:after="0"/>
        <w:ind w:left="120"/>
        <w:jc w:val="both"/>
      </w:pPr>
      <w:r>
        <w:rPr>
          <w:rFonts w:ascii="Times New Roman" w:hAnsi="Times New Roman"/>
          <w:b w:val="false"/>
          <w:i w:val="false"/>
          <w:color w:val="000000"/>
          <w:sz w:val="22"/>
        </w:rPr>
        <w:t xml:space="preserve"> Will you pay surrender charges on your old contract?</w:t>
      </w:r>
    </w:p>
    <w:p>
      <w:pPr>
        <w:spacing w:before="0" w:after="0"/>
        <w:ind w:left="120"/>
        <w:jc w:val="both"/>
      </w:pPr>
      <w:r>
        <w:rPr>
          <w:rFonts w:ascii="Times New Roman" w:hAnsi="Times New Roman"/>
          <w:b w:val="false"/>
          <w:i w:val="false"/>
          <w:color w:val="000000"/>
          <w:sz w:val="22"/>
        </w:rPr>
        <w:t xml:space="preserve"> What are the interest rate guarantees for the new contract?</w:t>
      </w:r>
    </w:p>
    <w:p>
      <w:pPr>
        <w:spacing w:before="0" w:after="0"/>
        <w:ind w:left="120"/>
        <w:jc w:val="both"/>
      </w:pPr>
      <w:r>
        <w:rPr>
          <w:rFonts w:ascii="Times New Roman" w:hAnsi="Times New Roman"/>
          <w:b w:val="false"/>
          <w:i w:val="false"/>
          <w:color w:val="000000"/>
          <w:sz w:val="22"/>
        </w:rPr>
        <w:t xml:space="preserve"> Have you compared the contract charges or other policy expenses?</w:t>
      </w:r>
    </w:p>
    <w:p>
      <w:pPr>
        <w:spacing w:before="0" w:after="0"/>
        <w:ind w:left="120"/>
        <w:jc w:val="both"/>
      </w:pPr>
      <w:r>
        <w:rPr>
          <w:rFonts w:ascii="Times New Roman" w:hAnsi="Times New Roman"/>
          <w:b w:val="false"/>
          <w:i w:val="false"/>
          <w:color w:val="000000"/>
          <w:sz w:val="18"/>
        </w:rPr>
        <w:t>OTHER ISSUES TO CONSIDER FOR ALL TRANSACTIONS:</w:t>
      </w:r>
    </w:p>
    <w:p>
      <w:pPr>
        <w:spacing w:before="0" w:after="0"/>
        <w:ind w:left="120"/>
        <w:jc w:val="both"/>
      </w:pPr>
      <w:r>
        <w:rPr>
          <w:rFonts w:ascii="Times New Roman" w:hAnsi="Times New Roman"/>
          <w:b w:val="false"/>
          <w:i w:val="false"/>
          <w:color w:val="000000"/>
          <w:sz w:val="22"/>
        </w:rPr>
        <w:t xml:space="preserve"> What are the tax consequences of buying the new policy?</w:t>
      </w:r>
    </w:p>
    <w:p>
      <w:pPr>
        <w:spacing w:before="0" w:after="0"/>
        <w:ind w:left="840"/>
        <w:jc w:val="both"/>
      </w:pPr>
      <w:r>
        <w:rPr>
          <w:rFonts w:ascii="Times New Roman" w:hAnsi="Times New Roman"/>
          <w:b w:val="false"/>
          <w:i w:val="false"/>
          <w:color w:val="000000"/>
          <w:sz w:val="22"/>
        </w:rPr>
        <w:t xml:space="preserve"> Is this a tax-free exchange? (See your tax advisor.)</w:t>
      </w:r>
    </w:p>
    <w:p>
      <w:pPr>
        <w:spacing w:before="0" w:after="0"/>
        <w:ind w:left="840"/>
        <w:jc w:val="both"/>
      </w:pPr>
      <w:r>
        <w:rPr>
          <w:rFonts w:ascii="Times New Roman" w:hAnsi="Times New Roman"/>
          <w:b w:val="false"/>
          <w:i w:val="false"/>
          <w:color w:val="000000"/>
          <w:sz w:val="22"/>
        </w:rPr>
        <w:t xml:space="preserve"> Is there a benefit from favorable “grandfathered” treatment of the old policy under the federal tax code?</w:t>
      </w:r>
    </w:p>
    <w:p>
      <w:pPr>
        <w:spacing w:before="0" w:after="0"/>
        <w:ind w:left="840"/>
        <w:jc w:val="both"/>
      </w:pPr>
      <w:r>
        <w:rPr>
          <w:rFonts w:ascii="Times New Roman" w:hAnsi="Times New Roman"/>
          <w:b w:val="false"/>
          <w:i w:val="false"/>
          <w:color w:val="000000"/>
          <w:sz w:val="22"/>
        </w:rPr>
        <w:t xml:space="preserve"> Will the existing insurer be willing to modify the old policy?</w:t>
      </w:r>
    </w:p>
    <w:p>
      <w:pPr>
        <w:spacing w:before="0" w:after="0"/>
        <w:ind w:left="840"/>
        <w:jc w:val="both"/>
      </w:pPr>
      <w:r>
        <w:rPr>
          <w:rFonts w:ascii="Times New Roman" w:hAnsi="Times New Roman"/>
          <w:b w:val="false"/>
          <w:i w:val="false"/>
          <w:color w:val="000000"/>
          <w:sz w:val="22"/>
        </w:rPr>
        <w:t xml:space="preserve"> How does the quality and financial stability of the new company compare with your existing company?</w:t>
      </w:r>
    </w:p>
    <w:p>
      <w:pPr>
        <w:spacing w:before="0" w:after="0"/>
        <w:ind w:left="120"/>
        <w:jc w:val="both"/>
      </w:pPr>
      <w:r>
        <w:rPr>
          <w:rFonts w:ascii="Times New Roman" w:hAnsi="Times New Roman"/>
          <w:b/>
          <w:i w:val="false"/>
          <w:color w:val="000000"/>
          <w:sz w:val="22"/>
        </w:rPr>
        <w:t>APPENDIX B</w:t>
      </w:r>
    </w:p>
    <w:p>
      <w:pPr>
        <w:spacing w:before="0" w:after="0"/>
        <w:ind w:left="120"/>
        <w:jc w:val="center"/>
      </w:pPr>
      <w:r>
        <w:rPr>
          <w:rFonts w:ascii="Times New Roman" w:hAnsi="Times New Roman"/>
          <w:b/>
          <w:i w:val="false"/>
          <w:color w:val="000000"/>
          <w:sz w:val="22"/>
        </w:rPr>
        <w:t>NOTICE REGARDING REPLACEMENT</w:t>
      </w:r>
    </w:p>
    <w:p>
      <w:pPr>
        <w:spacing w:before="0" w:after="0"/>
        <w:ind w:left="120"/>
        <w:jc w:val="center"/>
      </w:pPr>
      <w:r>
        <w:rPr>
          <w:rFonts w:ascii="Times New Roman" w:hAnsi="Times New Roman"/>
          <w:b/>
          <w:i w:val="false"/>
          <w:color w:val="000000"/>
          <w:sz w:val="22"/>
        </w:rPr>
        <w:t>REPLACING YOUR LIFE INSURANCE POLICY OR ANNUITY?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Are you thinking about buying a new life insurance policy or annuity and discontinuing or changing an existing one? If you are, your decision could be a good one—or a mistake. You will not know for sure unless you make a careful comparison of your existing benefits and the proposed policy or contract’s benefits.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Make sure you understand the facts. You should ask the company or agent that sold you your existing policy or contract to give you information about it.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Hear both sides before you decide. This way you can be sure you are making a decision that is in your best interest.</w:t>
      </w:r>
    </w:p>
    <w:p>
      <w:pPr>
        <w:spacing w:before="0" w:after="0"/>
        <w:ind w:left="120"/>
        <w:jc w:val="both"/>
      </w:pPr>
      <w:r>
        <w:rPr>
          <w:rFonts w:ascii="Times New Roman" w:hAnsi="Times New Roman"/>
          <w:b/>
          <w:i w:val="false"/>
          <w:color w:val="000000"/>
          <w:sz w:val="22"/>
        </w:rPr>
        <w:t>APPENDIX C</w:t>
      </w:r>
    </w:p>
    <w:p>
      <w:pPr>
        <w:spacing w:before="0" w:after="0"/>
        <w:ind w:left="120"/>
        <w:jc w:val="center"/>
      </w:pPr>
      <w:r>
        <w:rPr>
          <w:rFonts w:ascii="Times New Roman" w:hAnsi="Times New Roman"/>
          <w:b/>
          <w:i w:val="false"/>
          <w:color w:val="000000"/>
          <w:sz w:val="22"/>
        </w:rPr>
        <w:t>IMPORTANT NOTICE:</w:t>
      </w:r>
    </w:p>
    <w:p>
      <w:pPr>
        <w:spacing w:before="0" w:after="0"/>
        <w:ind w:left="120"/>
        <w:jc w:val="center"/>
      </w:pPr>
      <w:r>
        <w:rPr>
          <w:rFonts w:ascii="Times New Roman" w:hAnsi="Times New Roman"/>
          <w:b/>
          <w:i w:val="false"/>
          <w:color w:val="000000"/>
          <w:sz w:val="22"/>
        </w:rPr>
        <w:t>REPLACEMENT OF LIFE INSURANCE OR ANNUITIES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are contemplating the purchase of a life insurance policy or annuity contract. In some cases this purchase may involve discontinuing or changing an existing policy or contract. If so, a replacement is occurring. Financed purchases are also considered replacements.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replacement occurs when a new policy or contract is purchased and, in connection with the sale, you discontinue making premium payments on the existing policy or contract, or an existing policy or contract is surrendered, forfeited, assigned to the replacing insurer, or otherwise terminated or used in a financed purchase.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financed purchase occurs when the purchase of a new life insurance policy involves the use of funds obtained by the withdrawal or surrender of or by borrowing some or all of the policy values, including accumulated dividends, of an existing policy, to pay all or part of any premium or payment due on the new policy. A financed purchase is a replacement.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should carefully consider whether a replacement is in your best interest. You will pay acquisition costs and there may be surrender costs deducted from your policy or contract. You may be able to make changes to your existing policy or contract to meet your insurance needs at less cost. A financed purchase will reduce the value of your existing policy and may reduce the amount paid upon the death of the insured.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We want you to understand the effects of replacements and ask that you answer the following questions and consider the questions on the back of this form.</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Are you considering discontinuing making premium payments, surrendering, forfeiting, assigning to the insurer, or otherwise terminating your existing policy or contract? ___ YES ___ NO</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Are you considering using funds from your existing policies or contracts to pay premiums due on the new policy or contract? ___ YES ___ NO</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Please list each existing policy or contract you are contemplating replacing (include the name of the insurer, the insured, and the contract number if available) and whether each policy will be replaced or used as a source of financing:</w:t>
      </w:r>
    </w:p>
    <w:tbl>
      <w:tblPr>
        <w:tblW w:w="5000" w:type="pct"/>
        <w:tblCellSpacing w:w="0" w:type="auto"/>
        <w:tblBorders>
          <w:top w:val="none"/>
          <w:left w:val="none"/>
          <w:bottom w:val="none"/>
          <w:right w:val="none"/>
          <w:insideH w:val="none"/>
          <w:insideV w:val="none"/>
        </w:tblBorders>
        <w:tblLayout w:type="fixed"/>
      </w:tblPr>
      <w:tblGrid>
        <w:gridCol w:w="2798"/>
        <w:gridCol w:w="2797"/>
        <w:gridCol w:w="2797"/>
        <w:gridCol w:w="2797"/>
      </w:tblGrid>
      <w:tr>
        <w:trPr>
          <w:trHeight w:val="390" w:hRule="atLeast"/>
        </w:trPr>
        <w:tc>
          <w:tcPr>
            <w:tcW w:w="27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INSURER</w:t>
            </w:r>
          </w:p>
          <w:p>
            <w:pPr>
              <w:spacing w:before="0" w:after="0"/>
              <w:ind w:left="160"/>
              <w:jc w:val="left"/>
            </w:pPr>
            <w:r>
              <w:rPr>
                <w:rFonts w:ascii="Times New Roman" w:hAnsi="Times New Roman"/>
                <w:b w:val="false"/>
                <w:i w:val="false"/>
                <w:color w:val="000000"/>
                <w:sz w:val="16"/>
              </w:rPr>
              <w:t>NAME</w:t>
            </w:r>
          </w:p>
        </w:tc>
        <w:tc>
          <w:tcPr>
            <w:tcW w:w="27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CONTRACT OR</w:t>
            </w:r>
          </w:p>
          <w:p>
            <w:pPr>
              <w:spacing w:before="0" w:after="0"/>
              <w:ind w:left="160"/>
              <w:jc w:val="left"/>
            </w:pPr>
            <w:r>
              <w:rPr>
                <w:rFonts w:ascii="Times New Roman" w:hAnsi="Times New Roman"/>
                <w:b w:val="false"/>
                <w:i w:val="false"/>
                <w:color w:val="000000"/>
                <w:sz w:val="16"/>
              </w:rPr>
              <w:t>POLICY #</w:t>
            </w:r>
          </w:p>
        </w:tc>
        <w:tc>
          <w:tcPr>
            <w:tcW w:w="27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INSURED</w:t>
            </w:r>
          </w:p>
        </w:tc>
        <w:tc>
          <w:tcPr>
            <w:tcW w:w="279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REPLACED (R) OR</w:t>
            </w:r>
          </w:p>
          <w:p>
            <w:pPr>
              <w:spacing w:before="0" w:after="0"/>
              <w:ind w:left="160"/>
              <w:jc w:val="left"/>
            </w:pPr>
            <w:r>
              <w:rPr>
                <w:rFonts w:ascii="Times New Roman" w:hAnsi="Times New Roman"/>
                <w:b w:val="false"/>
                <w:i w:val="false"/>
                <w:color w:val="000000"/>
                <w:sz w:val="16"/>
              </w:rPr>
              <w:t>FINANCING (F)</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2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7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Make sure you know the facts. Contact your existing company or its agent for information about the old policy or contract. [If you request one, an in-force illustration, policy summary or available disclosure document must be sent to you by the existing insurer.] Ask for and retain all sales material used by the agent in the sales presentation. Be sure that you are making an informed decision.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certify that the responses herein are, to the best of my knowledge, accurate:</w:t>
      </w:r>
    </w:p>
    <w:p>
      <w:pPr>
        <w:spacing w:before="0" w:after="0"/>
        <w:ind w:left="120"/>
        <w:jc w:val="left"/>
      </w:pPr>
      <w:r>
        <w:rPr>
          <w:rFonts w:ascii="Times New Roman" w:hAnsi="Times New Roman"/>
          <w:b w:val="false"/>
          <w:i w:val="false"/>
          <w:color w:val="000000"/>
          <w:sz w:val="22"/>
        </w:rPr>
        <w:t> </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8041"/>
        <w:gridCol w:w="441"/>
        <w:gridCol w:w="2708"/>
      </w:tblGrid>
      <w:tr>
        <w:trPr>
          <w:trHeight w:val="270" w:hRule="atLeast"/>
        </w:trPr>
        <w:tc>
          <w:tcPr>
            <w:tcW w:w="8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90" w:hRule="atLeast"/>
        </w:trPr>
        <w:tc>
          <w:tcPr>
            <w:tcW w:w="804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Applicant’s Signature and Printed Name</w:t>
            </w:r>
          </w:p>
          <w:p>
            <w:pPr>
              <w:spacing w:before="0" w:after="0"/>
              <w:ind w:left="16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val="false"/>
          <w:color w:val="000000"/>
          <w:sz w:val="22"/>
        </w:rPr>
        <w:t>A replacement may not be in your best interest, or your decision could be a good one. You should make a careful comparison of the costs and benefits of your existing policy or contract and the proposed policy or contract. One way to do this is to ask the company or agent that sold you your existing policy or contract to provide you with information concerning your existing policy or contract. This may include an illustration of how your existing policy or contract is working now and how it would perform in the future based on certain assumptions. Illustrations should not, however, be used as a sole basis to compare policies or contracts. You should discuss the following with your agent to determine whether replacement or financing your purchase makes sense: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2934"/>
        <w:gridCol w:w="8533"/>
      </w:tblGrid>
      <w:tr>
        <w:trPr>
          <w:trHeight w:val="1200" w:hRule="atLeast"/>
        </w:trPr>
        <w:tc>
          <w:tcPr>
            <w:tcW w:w="2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PREMIUMS:</w:t>
            </w:r>
          </w:p>
        </w:tc>
        <w:tc>
          <w:tcPr>
            <w:tcW w:w="8533"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21"/>
              </w:rPr>
              <w:t>Are they affordable?</w:t>
            </w:r>
          </w:p>
          <w:p>
            <w:pPr>
              <w:spacing w:before="0" w:after="0"/>
              <w:ind w:left="448"/>
              <w:jc w:val="left"/>
            </w:pPr>
            <w:r>
              <w:rPr>
                <w:rFonts w:ascii="Times New Roman" w:hAnsi="Times New Roman"/>
                <w:b w:val="false"/>
                <w:i w:val="false"/>
                <w:color w:val="000000"/>
                <w:sz w:val="21"/>
              </w:rPr>
              <w:t>Could they change?</w:t>
            </w:r>
          </w:p>
          <w:p>
            <w:pPr>
              <w:spacing w:before="0" w:after="0"/>
              <w:ind w:left="448"/>
              <w:jc w:val="left"/>
            </w:pPr>
            <w:r>
              <w:rPr>
                <w:rFonts w:ascii="Times New Roman" w:hAnsi="Times New Roman"/>
                <w:b w:val="false"/>
                <w:i w:val="false"/>
                <w:color w:val="000000"/>
                <w:sz w:val="21"/>
              </w:rPr>
              <w:t>You’re older—are premiums higher for the proposed new policy?</w:t>
            </w:r>
          </w:p>
          <w:p>
            <w:pPr>
              <w:spacing w:before="0" w:after="0"/>
              <w:ind w:left="448"/>
              <w:jc w:val="left"/>
            </w:pPr>
            <w:r>
              <w:rPr>
                <w:rFonts w:ascii="Times New Roman" w:hAnsi="Times New Roman"/>
                <w:b w:val="false"/>
                <w:i w:val="false"/>
                <w:color w:val="000000"/>
                <w:sz w:val="21"/>
              </w:rPr>
              <w:t>How long will you have to pay premiums on the new policy? On the old policy?</w:t>
            </w:r>
          </w:p>
        </w:tc>
      </w:tr>
      <w:tr>
        <w:trPr>
          <w:trHeight w:val="1680" w:hRule="atLeast"/>
        </w:trPr>
        <w:tc>
          <w:tcPr>
            <w:tcW w:w="2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POLICY VALUES:</w:t>
            </w:r>
          </w:p>
        </w:tc>
        <w:tc>
          <w:tcPr>
            <w:tcW w:w="8533"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21"/>
              </w:rPr>
              <w:t>New policies usually take longer to build cash values and to pay dividends.</w:t>
            </w:r>
          </w:p>
          <w:p>
            <w:pPr>
              <w:spacing w:before="0" w:after="0"/>
              <w:ind w:left="448"/>
              <w:jc w:val="left"/>
            </w:pPr>
            <w:r>
              <w:rPr>
                <w:rFonts w:ascii="Times New Roman" w:hAnsi="Times New Roman"/>
                <w:b w:val="false"/>
                <w:i w:val="false"/>
                <w:color w:val="000000"/>
                <w:sz w:val="21"/>
              </w:rPr>
              <w:t>Acquisition costs for the old policy may have been paid; you will incur costs for the new one.</w:t>
            </w:r>
          </w:p>
          <w:p>
            <w:pPr>
              <w:spacing w:before="0" w:after="0"/>
              <w:ind w:left="448"/>
              <w:jc w:val="left"/>
            </w:pPr>
            <w:r>
              <w:rPr>
                <w:rFonts w:ascii="Times New Roman" w:hAnsi="Times New Roman"/>
                <w:b w:val="false"/>
                <w:i w:val="false"/>
                <w:color w:val="000000"/>
                <w:sz w:val="21"/>
              </w:rPr>
              <w:t>What surrender charges do the policies have?</w:t>
            </w:r>
          </w:p>
          <w:p>
            <w:pPr>
              <w:spacing w:before="0" w:after="0"/>
              <w:ind w:left="448"/>
              <w:jc w:val="left"/>
            </w:pPr>
            <w:r>
              <w:rPr>
                <w:rFonts w:ascii="Times New Roman" w:hAnsi="Times New Roman"/>
                <w:b w:val="false"/>
                <w:i w:val="false"/>
                <w:color w:val="000000"/>
                <w:sz w:val="21"/>
              </w:rPr>
              <w:t>What expense and sales charges will you pay on the new policy?</w:t>
            </w:r>
          </w:p>
          <w:p>
            <w:pPr>
              <w:spacing w:before="0" w:after="0"/>
              <w:ind w:left="448"/>
              <w:jc w:val="left"/>
            </w:pPr>
            <w:r>
              <w:rPr>
                <w:rFonts w:ascii="Times New Roman" w:hAnsi="Times New Roman"/>
                <w:b w:val="false"/>
                <w:i w:val="false"/>
                <w:color w:val="000000"/>
                <w:sz w:val="21"/>
              </w:rPr>
              <w:t>Does the new policy provide more insurance coverage?</w:t>
            </w:r>
          </w:p>
        </w:tc>
      </w:tr>
      <w:tr>
        <w:trPr>
          <w:trHeight w:val="1440" w:hRule="atLeast"/>
        </w:trPr>
        <w:tc>
          <w:tcPr>
            <w:tcW w:w="29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INSURABILITY:</w:t>
            </w:r>
          </w:p>
        </w:tc>
        <w:tc>
          <w:tcPr>
            <w:tcW w:w="8533"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21"/>
              </w:rPr>
              <w:t>If your health has changed since you bought your old policy, the new one could cost you more, or you could be turned down.</w:t>
            </w:r>
          </w:p>
          <w:p>
            <w:pPr>
              <w:spacing w:before="0" w:after="0"/>
              <w:ind w:left="448"/>
              <w:jc w:val="left"/>
            </w:pPr>
            <w:r>
              <w:rPr>
                <w:rFonts w:ascii="Times New Roman" w:hAnsi="Times New Roman"/>
                <w:b w:val="false"/>
                <w:i w:val="false"/>
                <w:color w:val="000000"/>
                <w:sz w:val="21"/>
              </w:rPr>
              <w:t>You may need a medical exam for a new policy.</w:t>
            </w:r>
          </w:p>
          <w:p>
            <w:pPr>
              <w:spacing w:before="0" w:after="0"/>
              <w:ind w:left="448"/>
              <w:jc w:val="left"/>
            </w:pPr>
            <w:r>
              <w:rPr>
                <w:rFonts w:ascii="Times New Roman" w:hAnsi="Times New Roman"/>
                <w:b w:val="false"/>
                <w:i w:val="false"/>
                <w:color w:val="000000"/>
                <w:sz w:val="21"/>
              </w:rPr>
              <w:t>[Claims on most new policies for up to the first two years can be denied based on inaccurate statements. Suicide limitations may begin anew on the new coverage.]</w:t>
            </w:r>
          </w:p>
        </w:tc>
      </w:tr>
    </w:tbl>
    <w:p>
      <w:pPr>
        <w:spacing w:before="0" w:after="0"/>
        <w:ind w:left="120"/>
        <w:jc w:val="both"/>
      </w:pPr>
      <w:r>
        <w:rPr>
          <w:rFonts w:ascii="Times New Roman" w:hAnsi="Times New Roman"/>
          <w:b w:val="false"/>
          <w:i w:val="false"/>
          <w:color w:val="000000"/>
          <w:sz w:val="18"/>
        </w:rPr>
        <w:t>IF YOU ARE KEEPING THE OLD POLICY AS WELL AS THE NEW POLICY:</w:t>
      </w:r>
    </w:p>
    <w:p>
      <w:pPr>
        <w:spacing w:before="0" w:after="0"/>
        <w:ind w:left="120"/>
        <w:jc w:val="both"/>
      </w:pPr>
      <w:r>
        <w:rPr>
          <w:rFonts w:ascii="Times New Roman" w:hAnsi="Times New Roman"/>
          <w:b w:val="false"/>
          <w:i w:val="false"/>
          <w:color w:val="000000"/>
          <w:sz w:val="22"/>
        </w:rPr>
        <w:t xml:space="preserve"> How are premiums for both policies being paid?</w:t>
      </w:r>
    </w:p>
    <w:p>
      <w:pPr>
        <w:spacing w:before="0" w:after="0"/>
        <w:ind w:left="120"/>
        <w:jc w:val="both"/>
      </w:pPr>
      <w:r>
        <w:rPr>
          <w:rFonts w:ascii="Times New Roman" w:hAnsi="Times New Roman"/>
          <w:b w:val="false"/>
          <w:i w:val="false"/>
          <w:color w:val="000000"/>
          <w:sz w:val="22"/>
        </w:rPr>
        <w:t xml:space="preserve"> How will the premiums on your existing policy be affected?</w:t>
      </w:r>
    </w:p>
    <w:p>
      <w:pPr>
        <w:spacing w:before="0" w:after="0"/>
        <w:ind w:left="120"/>
        <w:jc w:val="both"/>
      </w:pPr>
      <w:r>
        <w:rPr>
          <w:rFonts w:ascii="Times New Roman" w:hAnsi="Times New Roman"/>
          <w:b w:val="false"/>
          <w:i w:val="false"/>
          <w:color w:val="000000"/>
          <w:sz w:val="22"/>
        </w:rPr>
        <w:t xml:space="preserve"> Will a loan be deducted from death benefits?</w:t>
      </w:r>
    </w:p>
    <w:p>
      <w:pPr>
        <w:spacing w:before="0" w:after="0"/>
        <w:ind w:left="120"/>
        <w:jc w:val="both"/>
      </w:pPr>
      <w:r>
        <w:rPr>
          <w:rFonts w:ascii="Times New Roman" w:hAnsi="Times New Roman"/>
          <w:b w:val="false"/>
          <w:i w:val="false"/>
          <w:color w:val="000000"/>
          <w:sz w:val="22"/>
        </w:rPr>
        <w:t xml:space="preserve"> What values from the old policy are being used to pay premiums?</w:t>
      </w:r>
    </w:p>
    <w:p>
      <w:pPr>
        <w:spacing w:before="0" w:after="0"/>
        <w:ind w:left="120"/>
        <w:jc w:val="both"/>
      </w:pPr>
      <w:r>
        <w:rPr>
          <w:rFonts w:ascii="Times New Roman" w:hAnsi="Times New Roman"/>
          <w:b w:val="false"/>
          <w:i w:val="false"/>
          <w:color w:val="000000"/>
          <w:sz w:val="18"/>
        </w:rPr>
        <w:t>IF YOU ARE SURRENDERING AN ANNUITY OR INTEREST SENSITIVE LIFE PRODUCT:</w:t>
      </w:r>
    </w:p>
    <w:p>
      <w:pPr>
        <w:spacing w:before="0" w:after="0"/>
        <w:ind w:left="120"/>
        <w:jc w:val="both"/>
      </w:pPr>
      <w:r>
        <w:rPr>
          <w:rFonts w:ascii="Times New Roman" w:hAnsi="Times New Roman"/>
          <w:b w:val="false"/>
          <w:i w:val="false"/>
          <w:color w:val="000000"/>
          <w:sz w:val="22"/>
        </w:rPr>
        <w:t xml:space="preserve"> Will you pay surrender charges on your old contract?</w:t>
      </w:r>
    </w:p>
    <w:p>
      <w:pPr>
        <w:spacing w:before="0" w:after="0"/>
        <w:ind w:left="120"/>
        <w:jc w:val="both"/>
      </w:pPr>
      <w:r>
        <w:rPr>
          <w:rFonts w:ascii="Times New Roman" w:hAnsi="Times New Roman"/>
          <w:b w:val="false"/>
          <w:i w:val="false"/>
          <w:color w:val="000000"/>
          <w:sz w:val="22"/>
        </w:rPr>
        <w:t xml:space="preserve"> What are the interest rate guarantees for the new contract?</w:t>
      </w:r>
    </w:p>
    <w:p>
      <w:pPr>
        <w:spacing w:before="0" w:after="0"/>
        <w:ind w:left="120"/>
        <w:jc w:val="both"/>
      </w:pPr>
      <w:r>
        <w:rPr>
          <w:rFonts w:ascii="Times New Roman" w:hAnsi="Times New Roman"/>
          <w:b w:val="false"/>
          <w:i w:val="false"/>
          <w:color w:val="000000"/>
          <w:sz w:val="22"/>
        </w:rPr>
        <w:t xml:space="preserve"> Have you compared the contract charges or other policy expenses?</w:t>
      </w:r>
    </w:p>
    <w:p>
      <w:pPr>
        <w:spacing w:before="0" w:after="0"/>
        <w:ind w:left="120"/>
        <w:jc w:val="both"/>
      </w:pPr>
      <w:r>
        <w:rPr>
          <w:rFonts w:ascii="Times New Roman" w:hAnsi="Times New Roman"/>
          <w:b w:val="false"/>
          <w:i w:val="false"/>
          <w:color w:val="000000"/>
          <w:sz w:val="18"/>
        </w:rPr>
        <w:t>OTHER ISSUES TO CONSIDER FOR ALL TRANSACTIONS:</w:t>
      </w:r>
    </w:p>
    <w:p>
      <w:pPr>
        <w:spacing w:before="0" w:after="0"/>
        <w:ind w:left="840"/>
        <w:jc w:val="both"/>
      </w:pPr>
      <w:r>
        <w:rPr>
          <w:rFonts w:ascii="Times New Roman" w:hAnsi="Times New Roman"/>
          <w:b w:val="false"/>
          <w:i w:val="false"/>
          <w:color w:val="000000"/>
          <w:sz w:val="22"/>
        </w:rPr>
        <w:t xml:space="preserve"> What are the tax consequences of buying the new policy?</w:t>
      </w:r>
    </w:p>
    <w:p>
      <w:pPr>
        <w:spacing w:before="0" w:after="0"/>
        <w:ind w:left="840"/>
        <w:jc w:val="both"/>
      </w:pPr>
      <w:r>
        <w:rPr>
          <w:rFonts w:ascii="Times New Roman" w:hAnsi="Times New Roman"/>
          <w:b w:val="false"/>
          <w:i w:val="false"/>
          <w:color w:val="000000"/>
          <w:sz w:val="22"/>
        </w:rPr>
        <w:t xml:space="preserve"> Is this a tax-free exchange? (See your tax advisor.)</w:t>
      </w:r>
    </w:p>
    <w:p>
      <w:pPr>
        <w:spacing w:before="0" w:after="0"/>
        <w:ind w:left="840"/>
        <w:jc w:val="both"/>
      </w:pPr>
      <w:r>
        <w:rPr>
          <w:rFonts w:ascii="Times New Roman" w:hAnsi="Times New Roman"/>
          <w:b w:val="false"/>
          <w:i w:val="false"/>
          <w:color w:val="000000"/>
          <w:sz w:val="22"/>
        </w:rPr>
        <w:t>Is there a benefit from favorable “grandfathered” treatment of the old policy under the federal tax code?</w:t>
      </w:r>
    </w:p>
    <w:p>
      <w:pPr>
        <w:spacing w:before="0" w:after="0"/>
        <w:ind w:left="840"/>
        <w:jc w:val="both"/>
      </w:pPr>
      <w:r>
        <w:rPr>
          <w:rFonts w:ascii="Times New Roman" w:hAnsi="Times New Roman"/>
          <w:b w:val="false"/>
          <w:i w:val="false"/>
          <w:color w:val="000000"/>
          <w:sz w:val="22"/>
        </w:rPr>
        <w:t xml:space="preserve"> Will the existing insurer be willing to modify the old policy?</w:t>
      </w:r>
    </w:p>
    <w:p>
      <w:pPr>
        <w:spacing w:before="0" w:after="0"/>
        <w:ind w:left="840"/>
        <w:jc w:val="both"/>
      </w:pPr>
      <w:r>
        <w:rPr>
          <w:rFonts w:ascii="Times New Roman" w:hAnsi="Times New Roman"/>
          <w:b w:val="false"/>
          <w:i w:val="false"/>
          <w:color w:val="000000"/>
          <w:sz w:val="22"/>
        </w:rPr>
        <w:t>How does the quality and financial stability of the new company compare with your existing company?</w:t>
      </w:r>
    </w:p>
    <w:p>
      <w:pPr>
        <w:spacing w:before="0" w:after="0"/>
        <w:ind w:left="120"/>
        <w:jc w:val="center"/>
      </w:pPr>
      <w:r>
        <w:rPr>
          <w:rFonts w:ascii="Times New Roman" w:hAnsi="Times New Roman"/>
          <w:b w:val="false"/>
          <w:i w:val="false"/>
          <w:color w:val="000000"/>
          <w:sz w:val="21"/>
        </w:rPr>
        <w:t>[Filed 11/18/83, Notice 9/14/83—published 12/7/83, effective 4/1/84]</w:t>
      </w:r>
    </w:p>
    <w:p>
      <w:pPr>
        <w:spacing w:before="0" w:after="0"/>
        <w:ind w:left="120"/>
        <w:jc w:val="center"/>
      </w:pPr>
      <w:r>
        <w:rPr>
          <w:rFonts w:ascii="Times New Roman" w:hAnsi="Times New Roman"/>
          <w:b w:val="false"/>
          <w:i w:val="false"/>
          <w:color w:val="000000"/>
          <w:sz w:val="21"/>
        </w:rPr>
        <w:t>[Filed emergency 2/22/84—published 3/14/84, effective 4/1/84]</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11/12/99, Notice 10/6/99—published 12/1/99, effective 7/1/00]</w:t>
      </w:r>
    </w:p>
    <w:p>
      <w:pPr>
        <w:spacing w:before="0" w:after="0"/>
        <w:ind w:left="120"/>
        <w:jc w:val="center"/>
      </w:pPr>
      <w:r>
        <w:rPr>
          <w:rFonts w:ascii="Times New Roman" w:hAnsi="Times New Roman"/>
          <w:b w:val="false"/>
          <w:i w:val="false"/>
          <w:color w:val="000000"/>
          <w:sz w:val="21"/>
        </w:rPr>
        <w:t>[Filed emergency 5/17/00—published 6/14/00, effective 5/17/00]</w:t>
      </w:r>
    </w:p>
    <w:p>
      <w:pPr>
        <w:spacing w:before="0" w:after="0"/>
        <w:ind w:left="120"/>
        <w:jc w:val="center"/>
      </w:pPr>
      <w:r>
        <w:rPr>
          <w:rFonts w:ascii="Times New Roman" w:hAnsi="Times New Roman"/>
          <w:b w:val="false"/>
          <w:i w:val="false"/>
          <w:color w:val="000000"/>
          <w:sz w:val="21"/>
        </w:rPr>
        <w:t>[Filed 7/19/02, Notice 6/12/02—published 8/7/02, effective 9/11/02]</w:t>
      </w: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7735C</w:t>
      </w:r>
      <w:r>
        <w:rPr>
          <w:rFonts w:ascii="Times New Roman" w:hAnsi="Times New Roman"/>
          <w:b w:val="false"/>
          <w:i w:val="false"/>
          <w:color w:val="000000"/>
          <w:sz w:val="21"/>
        </w:rPr>
        <w:t xml:space="preserve"> (Notice ARC 7350C,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7B.12.pdf" Type="http://schemas.openxmlformats.org/officeDocument/2006/relationships/hyperlink" Id="rId5"/>
    <Relationship TargetMode="External" Target="https://www.legis.iowa.gov/docs/ico/chapter/507B.4.pdf" Type="http://schemas.openxmlformats.org/officeDocument/2006/relationships/hyperlink" Id="rId6"/>
    <Relationship TargetMode="External" Target="https://www.legis.iowa.gov/docs/iac/rule/191.16.25.pdf" Type="http://schemas.openxmlformats.org/officeDocument/2006/relationships/hyperlink" Id="rId7"/>
    <Relationship TargetMode="External" Target="https://www.legis.iowa.gov/docs/iac/chapter/191.14.pdf" Type="http://schemas.openxmlformats.org/officeDocument/2006/relationships/hyperlink" Id="rId8"/>
    <Relationship TargetMode="External" Target="https://www.legis.iowa.gov/docs/ico/chapter/522B.pdf" Type="http://schemas.openxmlformats.org/officeDocument/2006/relationships/hyperlink" Id="rId9"/>
    <Relationship TargetMode="External" Target="https://www.legis.iowa.gov/docs/iac/rule/191.16.28.pdf" Type="http://schemas.openxmlformats.org/officeDocument/2006/relationships/hyperlink" Id="rId10"/>
    <Relationship TargetMode="External" Target="https://www.legis.iowa.gov/docs/iac/rule/191.16.26.pdf" Type="http://schemas.openxmlformats.org/officeDocument/2006/relationships/hyperlink" Id="rId11"/>
    <Relationship TargetMode="External" Target="https://www.legis.iowa.gov/docs/iac/rule/191.16.27.pdf" Type="http://schemas.openxmlformats.org/officeDocument/2006/relationships/hyperlink" Id="rId12"/>
    <Relationship TargetMode="External" Target="https://www.legis.iowa.gov/docs/iac/rule/191.16.26.pdf" Type="http://schemas.openxmlformats.org/officeDocument/2006/relationships/hyperlink" Id="rId13"/>
    <Relationship TargetMode="External" Target="https://www.legis.iowa.gov/docs/iac/rule/191.16.25.pdf" Type="http://schemas.openxmlformats.org/officeDocument/2006/relationships/hyperlink" Id="rId14"/>
    <Relationship TargetMode="External" Target="https://www.legis.iowa.gov/docs/iac/rule/191.16.25.pdf" Type="http://schemas.openxmlformats.org/officeDocument/2006/relationships/hyperlink" Id="rId15"/>
    <Relationship TargetMode="External" Target="https://www.legis.iowa.gov/docs/iac/rule/191.16.24.pdf" Type="http://schemas.openxmlformats.org/officeDocument/2006/relationships/hyperlink" Id="rId16"/>
    <Relationship TargetMode="External" Target="https://www.legis.iowa.gov/docs/iac/rule/191.16.24.pdf" Type="http://schemas.openxmlformats.org/officeDocument/2006/relationships/hyperlink" Id="rId17"/>
    <Relationship TargetMode="External" Target="https://www.legis.iowa.gov/docs/iac/rule/191.16.24.pdf" Type="http://schemas.openxmlformats.org/officeDocument/2006/relationships/hyperlink" Id="rId18"/>
    <Relationship TargetMode="External" Target="https://www.legis.iowa.gov/docs/iac/rule/191.16.24.pdf" Type="http://schemas.openxmlformats.org/officeDocument/2006/relationships/hyperlink" Id="rId19"/>
    <Relationship TargetMode="External" Target="https://www.legis.iowa.gov/docs/iac/rule/191.16.24.pdf" Type="http://schemas.openxmlformats.org/officeDocument/2006/relationships/hyperlink" Id="rId20"/>
    <Relationship TargetMode="External" Target="https://www.legis.iowa.gov/docs/iac/rule/191.16.24.pdf" Type="http://schemas.openxmlformats.org/officeDocument/2006/relationships/hyperlink" Id="rId21"/>
    <Relationship TargetMode="External" Target="https://www.legis.iowa.gov/docs/iac/rule/191.16.26.pdf" Type="http://schemas.openxmlformats.org/officeDocument/2006/relationships/hyperlink" Id="rId22"/>
    <Relationship TargetMode="External" Target="https://www.legis.iowa.gov/docs/iac/rule/191.16.26.pdf" Type="http://schemas.openxmlformats.org/officeDocument/2006/relationships/hyperlink" Id="rId23"/>
    <Relationship TargetMode="External" Target="https://www.legis.iowa.gov/docs/iac/rule/191.16.26.pdf" Type="http://schemas.openxmlformats.org/officeDocument/2006/relationships/hyperlink" Id="rId24"/>
    <Relationship TargetMode="External" Target="https://www.legis.iowa.gov/docs/iac/rule/191.15.7.pdf" Type="http://schemas.openxmlformats.org/officeDocument/2006/relationships/hyperlink" Id="rId25"/>
    <Relationship TargetMode="External" Target="https://www.legis.iowa.gov/docs/iac/rule/191.15.8.pdf" Type="http://schemas.openxmlformats.org/officeDocument/2006/relationships/hyperlink" Id="rId26"/>
    <Relationship TargetMode="External" Target="https://www.legis.iowa.gov/docs/ico/chapter/507B.pdf" Type="http://schemas.openxmlformats.org/officeDocument/2006/relationships/hyperlink" Id="rId27"/>
    <Relationship TargetMode="External" Target="https://www.legis.iowa.gov/docs/iac/chapter/191.15.pdf" Type="http://schemas.openxmlformats.org/officeDocument/2006/relationships/hyperlink" Id="rId28"/>
    <Relationship TargetMode="External" Target="https://www.legis.iowa.gov/docs/ico/chapter/507B.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