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 xml:space="preserve">CONSENT FOR PROHIBITED PERSONS </w:t>
      </w:r>
      <w:r>
        <w:br/>
      </w:r>
      <w:r>
        <w:rPr>
          <w:rFonts w:ascii="Times New Roman" w:hAnsi="Times New Roman"/>
          <w:b w:val="false"/>
          <w:i w:val="false"/>
          <w:color w:val="000000"/>
          <w:sz w:val="21"/>
        </w:rPr>
        <w:t xml:space="preserve">TO ENGAGE IN THE BUSINESS OF INSURANCE </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191—13.1</w:t>
      </w:r>
      <w:r>
        <w:rPr>
          <w:rFonts w:ascii="Times New Roman" w:hAnsi="Times New Roman"/>
          <w:b/>
          <w:i w:val="false"/>
          <w:color w:val="000000"/>
          <w:sz w:val="22"/>
        </w:rPr>
        <w:t xml:space="preserve">(505,522B) </w:t>
      </w:r>
      <w:r>
        <w:rPr>
          <w:rFonts w:ascii="Times New Roman" w:hAnsi="Times New Roman"/>
          <w:b/>
          <w:i w:val="false"/>
          <w:color w:val="000000"/>
          <w:sz w:val="22"/>
        </w:rPr>
        <w:t xml:space="preserve">Purpose and authority. </w:t>
      </w:r>
      <w:r>
        <w:rPr>
          <w:rFonts w:ascii="Times New Roman" w:hAnsi="Times New Roman"/>
          <w:b w:val="false"/>
          <w:i w:val="false"/>
          <w:color w:val="000000"/>
          <w:sz w:val="22"/>
        </w:rPr>
        <w:t xml:space="preserve">The purpose of these rules is to implement the provisions of </w:t>
      </w:r>
      <w:r>
        <w:rPr>
          <w:rFonts w:ascii="Times New Roman" w:hAnsi="Times New Roman"/>
          <w:b w:val="false"/>
          <w:i w:val="false"/>
          <w:color w:val="000000"/>
          <w:sz w:val="22"/>
        </w:rPr>
        <w:t>18 U.S.C.</w:t>
      </w:r>
      <w:r>
        <w:rPr>
          <w:rFonts w:ascii="Times New Roman" w:hAnsi="Times New Roman"/>
          <w:b w:val="false"/>
          <w:i w:val="false"/>
          <w:color w:val="000000"/>
          <w:sz w:val="22"/>
        </w:rPr>
        <w:t xml:space="preserve"> Section 1033 and Iowa Code section </w:t>
      </w:r>
      <w:hyperlink r:id="rId5">
        <w:r>
          <w:rPr>
            <w:rStyle w:val="Hyperlink"/>
            <w:rFonts w:ascii="Times New Roman" w:hAnsi="Times New Roman"/>
            <w:b w:val="false"/>
            <w:i w:val="false"/>
            <w:color w:val="000000"/>
            <w:sz w:val="22"/>
          </w:rPr>
          <w:t>522B.16B</w:t>
        </w:r>
      </w:hyperlink>
      <w:r>
        <w:rPr>
          <w:rFonts w:ascii="Times New Roman" w:hAnsi="Times New Roman"/>
          <w:b w:val="false"/>
          <w:i w:val="false"/>
          <w:color w:val="000000"/>
          <w:sz w:val="22"/>
        </w:rPr>
        <w:t xml:space="preserve">. The Iowa insurance commissioner has jurisdiction under </w:t>
      </w:r>
      <w:r>
        <w:rPr>
          <w:rFonts w:ascii="Times New Roman" w:hAnsi="Times New Roman"/>
          <w:b w:val="false"/>
          <w:i w:val="false"/>
          <w:color w:val="000000"/>
          <w:sz w:val="22"/>
        </w:rPr>
        <w:t>18 U.S.C.</w:t>
      </w:r>
      <w:r>
        <w:rPr>
          <w:rFonts w:ascii="Times New Roman" w:hAnsi="Times New Roman"/>
          <w:b w:val="false"/>
          <w:i w:val="false"/>
          <w:color w:val="000000"/>
          <w:sz w:val="22"/>
        </w:rPr>
        <w:t xml:space="preserve"> Section 1033 to grant requests for consent to engage in the business of insurance.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8309B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191—13.2</w:t>
      </w:r>
      <w:r>
        <w:rPr>
          <w:rFonts w:ascii="Times New Roman" w:hAnsi="Times New Roman"/>
          <w:b/>
          <w:i w:val="false"/>
          <w:color w:val="000000"/>
          <w:sz w:val="22"/>
        </w:rPr>
        <w:t xml:space="preserve">(505,522B)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rule </w:t>
      </w:r>
      <w:hyperlink r:id="rId6">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and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Violent Crime Control and Law Enforcement Act of 1994, Public Law 103-322, H.R. 3355; 18 U.S.C. Sections 1033 and 1034.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person subject to the provisions of 18 U.S.C. Sections 1033 and 1034 who files an application for consent to engage in the business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“Breach of trust” </w:t>
      </w:r>
      <w:r>
        <w:rPr>
          <w:rFonts w:ascii="Times New Roman" w:hAnsi="Times New Roman"/>
          <w:b w:val="false"/>
          <w:i w:val="false"/>
          <w:color w:val="000000"/>
          <w:sz w:val="22"/>
        </w:rPr>
        <w:t>means any criminal act or an element of a criminal act by an applicant, including but not limited to an act that constitutes or involves misuse, misapplication or misappropriation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Anything of value held as a fiduciary, where “fiduciary” includes, but is not limited to, a trustee, administrator, executor, conservator, receiver, guardian, agent, employee, partner, officer, director or public servant;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Anything of value of any public, private or charitable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of insurance” </w:t>
      </w:r>
      <w:r>
        <w:rPr>
          <w:rFonts w:ascii="Times New Roman" w:hAnsi="Times New Roman"/>
          <w:b w:val="false"/>
          <w:i w:val="false"/>
          <w:color w:val="000000"/>
          <w:sz w:val="22"/>
        </w:rPr>
        <w:t>means the writing of insurance or the reinsuring of risks by an insurer, including all acts necessary or incidental to such writing or reinsuring and the activity of persons who are or who act as officers, directors, agents, or employees of insurers, producers or any other persons authorized to act on behalf of such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“Consent” </w:t>
      </w:r>
      <w:r>
        <w:rPr>
          <w:rFonts w:ascii="Times New Roman" w:hAnsi="Times New Roman"/>
          <w:b w:val="false"/>
          <w:i w:val="false"/>
          <w:color w:val="000000"/>
          <w:sz w:val="22"/>
        </w:rPr>
        <w:t>means the written consent issued by the commissioner for a prohibited person to engage in the business of insurance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“Dishonesty” </w:t>
      </w:r>
      <w:r>
        <w:rPr>
          <w:rFonts w:ascii="Times New Roman" w:hAnsi="Times New Roman"/>
          <w:b w:val="false"/>
          <w:i w:val="false"/>
          <w:color w:val="000000"/>
          <w:sz w:val="22"/>
        </w:rPr>
        <w:t xml:space="preserve">means any criminal act which includes, but is not limited to, any offense constituting or involving perjury, bribery, forgery, counterfeiting, false or misleading oral or written statements, deception, fraud, schemes or artifices to deceive or defraud, material misrepresentations or the failure to disclose material facts.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“Felony”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federal crime for which the maximum authorized punishment exceeds one year of imprisonment;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crime in any state or country that is identified as a felony in that state or country or, if not identified as a felony in that other state or country, any offense for which the maximum authorized punishment exceeds one year of incarceration.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means any entity the business activity of which is the writing of insurance or the reinsuring of risks, and includes any person who acts as, or is, an officer, director, agent, producer, or employee of that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registration, certificate of authority or other permit or approval issued or granted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“Prohibited person” </w:t>
      </w:r>
      <w:r>
        <w:rPr>
          <w:rFonts w:ascii="Times New Roman" w:hAnsi="Times New Roman"/>
          <w:b w:val="false"/>
          <w:i w:val="false"/>
          <w:color w:val="000000"/>
          <w:sz w:val="22"/>
        </w:rPr>
        <w:t>means any person who is a resident of Iowa and who has been convicted of any felony crime involving dishonesty or breach of trust in a state or federal jurisdiction or who has been convicted of any violation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 for consent” </w:t>
      </w:r>
      <w:r>
        <w:rPr>
          <w:rFonts w:ascii="Times New Roman" w:hAnsi="Times New Roman"/>
          <w:b w:val="false"/>
          <w:i w:val="false"/>
          <w:color w:val="000000"/>
          <w:sz w:val="22"/>
        </w:rPr>
        <w:t>means a completed application, submitted by a prohibited person, that requests the commissioner’s consent to allow that prohibited person to engage in or transact, or to continue to engage in or transact, the business of insurance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for the purposes of this chapter, includes any state of the United States, the District of Columbia, the Commonwealth of Puerto Rico, the Northern Mariana Islands, the Virgin Islands, American Samoa and the Trust Territory of the Pacific Islands.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8309B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191—13.3</w:t>
      </w:r>
      <w:r>
        <w:rPr>
          <w:rFonts w:ascii="Times New Roman" w:hAnsi="Times New Roman"/>
          <w:b/>
          <w:i w:val="false"/>
          <w:color w:val="000000"/>
          <w:sz w:val="22"/>
        </w:rPr>
        <w:t xml:space="preserve">(505,522B) </w:t>
      </w:r>
      <w:r>
        <w:rPr>
          <w:rFonts w:ascii="Times New Roman" w:hAnsi="Times New Roman"/>
          <w:b/>
          <w:i w:val="false"/>
          <w:color w:val="000000"/>
          <w:sz w:val="22"/>
        </w:rPr>
        <w:t xml:space="preserve">Requirement for prohibited persons to obtain 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A prohibited person shall not engage in or transact the business of insurance in the state of Iowa without the consent of the commissioner of insurance of the person’s resident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A prohibited person who is a resident of Iowa must receive a consent from the commissioner before the division will consider any application or request for a license, certification, certificate of authority, or other permit or approval issued or granted by the division related to engaging in or transacting the business of insurance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A prohibited person engaging in or transacting the business of insurance in Iowa without the consent of the insurance commissioner of the person’s resident state is in violation of these rules, is subject to the penalties of this chapter, and risks federal criminal and civil sanctions and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8309B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191—13.4</w:t>
      </w:r>
      <w:r>
        <w:rPr>
          <w:rFonts w:ascii="Times New Roman" w:hAnsi="Times New Roman"/>
          <w:b/>
          <w:i w:val="false"/>
          <w:color w:val="000000"/>
          <w:sz w:val="22"/>
        </w:rPr>
        <w:t xml:space="preserve">(505,522B) </w:t>
      </w:r>
      <w:r>
        <w:rPr>
          <w:rFonts w:ascii="Times New Roman" w:hAnsi="Times New Roman"/>
          <w:b/>
          <w:i w:val="false"/>
          <w:color w:val="000000"/>
          <w:sz w:val="22"/>
        </w:rPr>
        <w:t xml:space="preserve">Applications for consent. </w:t>
      </w:r>
      <w:r>
        <w:rPr>
          <w:rFonts w:ascii="Times New Roman" w:hAnsi="Times New Roman"/>
          <w:b w:val="false"/>
          <w:i w:val="false"/>
          <w:color w:val="000000"/>
          <w:sz w:val="22"/>
        </w:rPr>
        <w:t>The prohibited person must file with the division an application for consent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7">
        <w:r>
          <w:rPr>
            <w:rStyle w:val="Hyperlink"/>
            <w:rFonts w:ascii="Times New Roman" w:hAnsi="Times New Roman"/>
            <w:b w:val="false"/>
            <w:i w:val="false"/>
            <w:color w:val="000000"/>
            <w:sz w:val="22"/>
          </w:rPr>
          <w:t>13.4(2)</w:t>
        </w:r>
      </w:hyperlink>
      <w:r>
        <w:rPr>
          <w:rFonts w:ascii="Times New Roman" w:hAnsi="Times New Roman"/>
          <w:b w:val="false"/>
          <w:i w:val="false"/>
          <w:color w:val="000000"/>
          <w:sz w:val="22"/>
        </w:rPr>
        <w:t>, a prohibited person who is, or seeks to be, employed in any capacity in the business of insurance in Iowa must complete and file an application for consent, in a format prescribed by the division, available on the division’s website or by request from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val="false"/>
          <w:color w:val="000000"/>
          <w:sz w:val="22"/>
        </w:rPr>
        <w:t>The commissioner may at any time request additional information from an applicant to support a pending application for consent. Failure to provide such information is grounds for denial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val="false"/>
          <w:color w:val="000000"/>
          <w:sz w:val="22"/>
        </w:rPr>
        <w:t>An application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2″ × 2″ recent passport-type identical photographs attached as indicated on the application for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copy of the applicant’s criminal history record both from the applicant’s state of residence and from the state in which the felony was committed if different from the state of residence. A Record Check Request form may be obtained from the Iowa division of criminal investigation at: </w:t>
      </w:r>
      <w:hyperlink r:id="rId8">
        <w:r>
          <w:rPr>
            <w:rStyle w:val="Hyperlink"/>
            <w:rFonts w:ascii="Times New Roman" w:hAnsi="Times New Roman"/>
            <w:b w:val="false"/>
            <w:i w:val="false"/>
            <w:color w:val="000000"/>
            <w:sz w:val="22"/>
            <w:u w:val="single"/>
          </w:rPr>
          <w:t>www.dps.state.ia.us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copy of all court documents that demonstrate completion and performance of all conditions imposed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affidavit from the immediate supervisor or potential immediate supervisor for the entity that employs the applicant or that seeks to employ the applicant stating in detail the duties and responsibilities which the applicant will perform and for which the applicant seeks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relevant documents or information that the prohibited person would like to have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val="false"/>
          <w:color w:val="000000"/>
          <w:sz w:val="22"/>
        </w:rPr>
        <w:t>Upon the occurrence of any event that would change any answer on the application, an amendment must be promptly filed. Failure to file an amendment may result in denial of the request for consent or the immediate suspension or revocation of a previously granted consent.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8309B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191—13.5</w:t>
      </w:r>
      <w:r>
        <w:rPr>
          <w:rFonts w:ascii="Times New Roman" w:hAnsi="Times New Roman"/>
          <w:b/>
          <w:i w:val="false"/>
          <w:color w:val="000000"/>
          <w:sz w:val="22"/>
        </w:rPr>
        <w:t xml:space="preserve">(505,522B) </w:t>
      </w:r>
      <w:r>
        <w:rPr>
          <w:rFonts w:ascii="Times New Roman" w:hAnsi="Times New Roman"/>
          <w:b/>
          <w:i w:val="false"/>
          <w:color w:val="000000"/>
          <w:sz w:val="22"/>
        </w:rPr>
        <w:t xml:space="preserve">Consideration of applications for 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have the sole discretion to grant or deny an application for consent to engage in or transact the business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val="false"/>
          <w:color w:val="000000"/>
          <w:sz w:val="22"/>
        </w:rPr>
        <w:t>Each decision of whether or not to grant consent to engage in or transact the business of insurance to a prohibited person will be handled on a case-by-case basis. Factors to be considered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and severity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length of time since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injury or loss caused by the prohibited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conviction is related to the business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prohibited person received a pardon from the authority that convicted the person and whether the pardon was granted due to the innocence of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prohibited person completed parole or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a breach of trust or dishonesty was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nature and strength of character reference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person’s business and personal records before and after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Whether and to what extent the person has made material false statements in an application, renewal or other documents filed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and to what extent the person has made material false statements in applications or other documents filed with other agencies of this state or of other states or with 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prohibited person’s conviction was expunged;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Whether or not the person received the conviction in a foreign country;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additional relevant factors.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8309B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191—13.6</w:t>
      </w:r>
      <w:r>
        <w:rPr>
          <w:rFonts w:ascii="Times New Roman" w:hAnsi="Times New Roman"/>
          <w:b/>
          <w:i w:val="false"/>
          <w:color w:val="000000"/>
          <w:sz w:val="22"/>
        </w:rPr>
        <w:t xml:space="preserve">(505,522B) </w:t>
      </w:r>
      <w:r>
        <w:rPr>
          <w:rFonts w:ascii="Times New Roman" w:hAnsi="Times New Roman"/>
          <w:b/>
          <w:i w:val="false"/>
          <w:color w:val="000000"/>
          <w:sz w:val="22"/>
        </w:rPr>
        <w:t xml:space="preserve">Review of application by the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val="false"/>
          <w:color w:val="000000"/>
          <w:sz w:val="22"/>
        </w:rPr>
        <w:t>The commissioner must consider the following when reviewing 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information submitted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factors set forth in subrule </w:t>
      </w:r>
      <w:hyperlink r:id="rId9">
        <w:r>
          <w:rPr>
            <w:rStyle w:val="Hyperlink"/>
            <w:rFonts w:ascii="Times New Roman" w:hAnsi="Times New Roman"/>
            <w:b w:val="false"/>
            <w:i w:val="false"/>
            <w:color w:val="000000"/>
            <w:sz w:val="22"/>
          </w:rPr>
          <w:t>13.5(2)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mitigating or aggravating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val="false"/>
          <w:color w:val="000000"/>
          <w:sz w:val="22"/>
        </w:rPr>
        <w:t>At the commissioner’s discretion, the commissioner may convene a hearing to receive evidence and testimony about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val="false"/>
          <w:color w:val="000000"/>
          <w:sz w:val="22"/>
        </w:rPr>
        <w:t>If the commissioner determines that the applicant does not seem to constitute a significant threat to the public, the commissioner shall issue the consent and specify its scope.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w:t>
      </w:r>
      <w:r>
        <w:rPr>
          <w:rFonts w:ascii="Times New Roman" w:hAnsi="Times New Roman"/>
          <w:b w:val="false"/>
          <w:i w:val="false"/>
          <w:color w:val="000000"/>
          <w:sz w:val="22"/>
        </w:rPr>
        <w:t> </w:t>
      </w:r>
      <w:r>
        <w:rPr>
          <w:rFonts w:ascii="Times New Roman" w:hAnsi="Times New Roman"/>
          <w:b w:val="false"/>
          <w:i w:val="false"/>
          <w:color w:val="000000"/>
          <w:sz w:val="22"/>
        </w:rPr>
        <w:t>If the commissioner determines that the applicant does seem to constitute a significant threat to the public, the commissioner shall deny the application. Notice of the denial must be sent to the applicant via certified mail to the address on record with the division, return receipt requested. The prohibited person may request a hearing with the commissioner within 30 days from the date of mailing of the division’s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and materials supplied with the application, provided at the request of the division, or obtained by the division during the course of its review, including materials and testimony received at a hearing regarding an application, shall be considered information submitted to the division or obtained by the division in the course of an investigation for purposes of Iowa Code section </w:t>
      </w:r>
      <w:hyperlink r:id="rId10">
        <w:r>
          <w:rPr>
            <w:rStyle w:val="Hyperlink"/>
            <w:rFonts w:ascii="Times New Roman" w:hAnsi="Times New Roman"/>
            <w:b w:val="false"/>
            <w:i w:val="false"/>
            <w:color w:val="000000"/>
            <w:sz w:val="22"/>
          </w:rPr>
          <w:t>505.8(8)</w:t>
        </w:r>
      </w:hyperlink>
      <w:r>
        <w:rPr>
          <w:rFonts w:ascii="Times New Roman" w:hAnsi="Times New Roman"/>
          <w:b w:val="false"/>
          <w:i w:val="false"/>
          <w:color w:val="000000"/>
          <w:sz w:val="22"/>
        </w:rPr>
        <w:t xml:space="preserve">, and the commissioner shall keep such information confidential. A consent issued by the commissioner is a public record for purposes of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however, Iowa Code section </w:t>
      </w:r>
      <w:hyperlink r:id="rId12">
        <w:r>
          <w:rPr>
            <w:rStyle w:val="Hyperlink"/>
            <w:rFonts w:ascii="Times New Roman" w:hAnsi="Times New Roman"/>
            <w:b w:val="false"/>
            <w:i w:val="false"/>
            <w:color w:val="000000"/>
            <w:sz w:val="22"/>
          </w:rPr>
          <w:t>505.8(9)</w:t>
        </w:r>
      </w:hyperlink>
      <w:r>
        <w:rPr>
          <w:rFonts w:ascii="Times New Roman" w:hAnsi="Times New Roman"/>
          <w:b w:val="false"/>
          <w:i w:val="false"/>
          <w:color w:val="000000"/>
          <w:sz w:val="22"/>
        </w:rPr>
        <w:t xml:space="preserve"> also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8309B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191—13.7</w:t>
      </w:r>
      <w:r>
        <w:rPr>
          <w:rFonts w:ascii="Times New Roman" w:hAnsi="Times New Roman"/>
          <w:b/>
          <w:i w:val="false"/>
          <w:color w:val="000000"/>
          <w:sz w:val="22"/>
        </w:rPr>
        <w:t xml:space="preserve">(505,522B) </w:t>
      </w:r>
      <w:r>
        <w:rPr>
          <w:rFonts w:ascii="Times New Roman" w:hAnsi="Times New Roman"/>
          <w:b/>
          <w:i w:val="false"/>
          <w:color w:val="000000"/>
          <w:sz w:val="22"/>
        </w:rPr>
        <w:t xml:space="preserve">Consent effective for specified positions and responsibilities only. </w:t>
      </w:r>
      <w:r>
        <w:rPr>
          <w:rFonts w:ascii="Times New Roman" w:hAnsi="Times New Roman"/>
          <w:b w:val="false"/>
          <w:i w:val="false"/>
          <w:color w:val="000000"/>
          <w:sz w:val="22"/>
        </w:rPr>
        <w:t>A consent issued by the commissioner shall be effective only so long as the prohibited person remains in the same or similar job position with the same or similar responsibilities to which the person attested in the initial request for consent. A material change in job responsibilities requires the prohibited person to file an amended request for consent.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8309B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191—13.8</w:t>
      </w:r>
      <w:r>
        <w:rPr>
          <w:rFonts w:ascii="Times New Roman" w:hAnsi="Times New Roman"/>
          <w:b/>
          <w:i w:val="false"/>
          <w:color w:val="000000"/>
          <w:sz w:val="22"/>
        </w:rPr>
        <w:t xml:space="preserve">(505,522B) </w:t>
      </w:r>
      <w:r>
        <w:rPr>
          <w:rFonts w:ascii="Times New Roman" w:hAnsi="Times New Roman"/>
          <w:b/>
          <w:i w:val="false"/>
          <w:color w:val="000000"/>
          <w:sz w:val="22"/>
        </w:rPr>
        <w:t xml:space="preserve">Change in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13.8(1)</w:t>
      </w:r>
      <w:r>
        <w:rPr>
          <w:rFonts w:ascii="Times New Roman" w:hAnsi="Times New Roman"/>
          <w:b w:val="false"/>
          <w:i w:val="false"/>
          <w:color w:val="000000"/>
          <w:sz w:val="22"/>
        </w:rPr>
        <w:t> </w:t>
      </w:r>
      <w:r>
        <w:rPr>
          <w:rFonts w:ascii="Times New Roman" w:hAnsi="Times New Roman"/>
          <w:b w:val="false"/>
          <w:i/>
          <w:color w:val="000000"/>
          <w:sz w:val="22"/>
        </w:rPr>
        <w:t xml:space="preserve">Failure to disclose. </w:t>
      </w:r>
      <w:r>
        <w:rPr>
          <w:rFonts w:ascii="Times New Roman" w:hAnsi="Times New Roman"/>
          <w:b w:val="false"/>
          <w:i w:val="false"/>
          <w:color w:val="000000"/>
          <w:sz w:val="22"/>
        </w:rPr>
        <w:t>In the event that the division determines that the prohibited person receiving the consent made materially false or misleading statements, or failed to disclose material information in the application for consent, the consent shall be suspended or revoked. The prohibited person may request a hearing with the commissioner within 30 days from the date of mailing of the division’s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13.8(2)</w:t>
      </w:r>
      <w:r>
        <w:rPr>
          <w:rFonts w:ascii="Times New Roman" w:hAnsi="Times New Roman"/>
          <w:b w:val="false"/>
          <w:i w:val="false"/>
          <w:color w:val="000000"/>
          <w:sz w:val="22"/>
        </w:rPr>
        <w:t> </w:t>
      </w:r>
      <w:r>
        <w:rPr>
          <w:rFonts w:ascii="Times New Roman" w:hAnsi="Times New Roman"/>
          <w:b w:val="false"/>
          <w:i/>
          <w:color w:val="000000"/>
          <w:sz w:val="22"/>
        </w:rPr>
        <w:t xml:space="preserve">New felony.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prohibited person who previously received consent from the commissioner to participate in the business of insurance must immediately notify the division if that person is subsequently convicted of an offense under the Act, or of any felony offense involving dishonesty or breach of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entry of a new conviction automatically terminates the prior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division becomes aware of the new conviction, it must inform the prohibited person in writing, via certified mail to the address on record with the division, return receipt requested, that the consent previously issued has been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prohibited person may seek a new consent from the commissioner pursuant to the Act and to this chapter after reporting the new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13.8(3)</w:t>
      </w:r>
      <w:r>
        <w:rPr>
          <w:rFonts w:ascii="Times New Roman" w:hAnsi="Times New Roman"/>
          <w:b w:val="false"/>
          <w:i w:val="false"/>
          <w:color w:val="000000"/>
          <w:sz w:val="22"/>
        </w:rPr>
        <w:t> </w:t>
      </w:r>
      <w:r>
        <w:rPr>
          <w:rFonts w:ascii="Times New Roman" w:hAnsi="Times New Roman"/>
          <w:b w:val="false"/>
          <w:i/>
          <w:color w:val="000000"/>
          <w:sz w:val="22"/>
        </w:rPr>
        <w:t xml:space="preserve">Violation of terms of consent. </w:t>
      </w:r>
      <w:r>
        <w:rPr>
          <w:rFonts w:ascii="Times New Roman" w:hAnsi="Times New Roman"/>
          <w:b w:val="false"/>
          <w:i w:val="false"/>
          <w:color w:val="000000"/>
          <w:sz w:val="22"/>
        </w:rPr>
        <w:t>If the commissioner determines that a prohibited person has violated the terms of a consent, the commissioner shall immediately terminate the consent. The division must inform the prohibited person in writing, via certified mail to the address on record with the division, return receipt requested, that the consent previously issued has been terminated. The prohibited person may request a hearing with the commissioner within 30 days from the date of mailing of the division’s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13.8(4)</w:t>
      </w:r>
      <w:r>
        <w:rPr>
          <w:rFonts w:ascii="Times New Roman" w:hAnsi="Times New Roman"/>
          <w:b w:val="false"/>
          <w:i w:val="false"/>
          <w:color w:val="000000"/>
          <w:sz w:val="22"/>
        </w:rPr>
        <w:t> </w:t>
      </w:r>
      <w:r>
        <w:rPr>
          <w:rFonts w:ascii="Times New Roman" w:hAnsi="Times New Roman"/>
          <w:b w:val="false"/>
          <w:i/>
          <w:color w:val="000000"/>
          <w:sz w:val="22"/>
        </w:rPr>
        <w:t xml:space="preserve">Suspension of insurance producer license. </w:t>
      </w:r>
      <w:r>
        <w:rPr>
          <w:rFonts w:ascii="Times New Roman" w:hAnsi="Times New Roman"/>
          <w:b w:val="false"/>
          <w:i w:val="false"/>
          <w:color w:val="000000"/>
          <w:sz w:val="22"/>
        </w:rPr>
        <w:t xml:space="preserve">The commissioner may summarily suspend the insurance producer license of a prohibited person for any of the actions described in subrule </w:t>
      </w:r>
      <w:hyperlink r:id="rId13">
        <w:r>
          <w:rPr>
            <w:rStyle w:val="Hyperlink"/>
            <w:rFonts w:ascii="Times New Roman" w:hAnsi="Times New Roman"/>
            <w:b w:val="false"/>
            <w:i w:val="false"/>
            <w:color w:val="000000"/>
            <w:sz w:val="22"/>
          </w:rPr>
          <w:t>13.8(1)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13.8(2)</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13.8(3)</w:t>
        </w:r>
      </w:hyperlink>
      <w:r>
        <w:rPr>
          <w:rFonts w:ascii="Times New Roman" w:hAnsi="Times New Roman"/>
          <w:b w:val="false"/>
          <w:i w:val="false"/>
          <w:color w:val="000000"/>
          <w:sz w:val="22"/>
        </w:rPr>
        <w:t xml:space="preserve"> if the person has been issued a license by the division. A hearing shall be scheduled in accordance with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determine whether the person’s license should be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8309B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191—13.9</w:t>
      </w:r>
      <w:r>
        <w:rPr>
          <w:rFonts w:ascii="Times New Roman" w:hAnsi="Times New Roman"/>
          <w:b/>
          <w:i w:val="false"/>
          <w:color w:val="000000"/>
          <w:sz w:val="22"/>
        </w:rPr>
        <w:t xml:space="preserve">(505,522B) </w:t>
      </w:r>
      <w:r>
        <w:rPr>
          <w:rFonts w:ascii="Times New Roman" w:hAnsi="Times New Roman"/>
          <w:b/>
          <w:i w:val="false"/>
          <w:color w:val="000000"/>
          <w:sz w:val="22"/>
        </w:rPr>
        <w:t xml:space="preserve">Burden of proof. </w:t>
      </w:r>
      <w:r>
        <w:rPr>
          <w:rFonts w:ascii="Times New Roman" w:hAnsi="Times New Roman"/>
          <w:b w:val="false"/>
          <w:i w:val="false"/>
          <w:color w:val="000000"/>
          <w:sz w:val="22"/>
        </w:rPr>
        <w:t>The burden of proof of persuasion and of the production of evidence at a hearing regarding a request for consent is on the prohibited person. The person shall have to demonstrate by clear and convincing evidence that the person is not a threat to the public interest and public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8309B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191—13.10</w:t>
      </w:r>
      <w:r>
        <w:rPr>
          <w:rFonts w:ascii="Times New Roman" w:hAnsi="Times New Roman"/>
          <w:b/>
          <w:i w:val="false"/>
          <w:color w:val="000000"/>
          <w:sz w:val="22"/>
        </w:rPr>
        <w:t xml:space="preserve">(505,522B) </w:t>
      </w:r>
      <w:r>
        <w:rPr>
          <w:rFonts w:ascii="Times New Roman" w:hAnsi="Times New Roman"/>
          <w:b/>
          <w:i w:val="false"/>
          <w:color w:val="000000"/>
          <w:sz w:val="22"/>
        </w:rPr>
        <w:t xml:space="preserve">Violations and penalties. </w:t>
      </w:r>
      <w:r>
        <w:rPr>
          <w:rFonts w:ascii="Times New Roman" w:hAnsi="Times New Roman"/>
          <w:b w:val="false"/>
          <w:i w:val="false"/>
          <w:color w:val="000000"/>
          <w:sz w:val="22"/>
        </w:rPr>
        <w:t xml:space="preserve">A prohibited person who engages in the business of insurance without the consent of the commissioner or otherwise in violation of this chapter shall be deemed to be in violation of Iowa Code section </w:t>
      </w:r>
      <w:hyperlink r:id="rId17">
        <w:r>
          <w:rPr>
            <w:rStyle w:val="Hyperlink"/>
            <w:rFonts w:ascii="Times New Roman" w:hAnsi="Times New Roman"/>
            <w:b w:val="false"/>
            <w:i w:val="false"/>
            <w:color w:val="000000"/>
            <w:sz w:val="22"/>
          </w:rPr>
          <w:t>522B.2</w:t>
        </w:r>
      </w:hyperlink>
      <w:r>
        <w:rPr>
          <w:rFonts w:ascii="Times New Roman" w:hAnsi="Times New Roman"/>
          <w:b w:val="false"/>
          <w:i w:val="false"/>
          <w:color w:val="000000"/>
          <w:sz w:val="22"/>
        </w:rPr>
        <w:t xml:space="preserve"> and is subject to the penalties provided in Iowa Code section </w:t>
      </w:r>
      <w:hyperlink r:id="rId18">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8309B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Iowa Code section </w:t>
      </w:r>
      <w:hyperlink r:id="rId20">
        <w:r>
          <w:rPr>
            <w:rStyle w:val="Hyperlink"/>
            <w:rFonts w:ascii="Times New Roman" w:hAnsi="Times New Roman"/>
            <w:b w:val="false"/>
            <w:i w:val="false"/>
            <w:color w:val="000000"/>
            <w:sz w:val="22"/>
          </w:rPr>
          <w:t>522B.16B</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18 U.S.C. Section 1033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8309B</w:t>
      </w:r>
      <w:r>
        <w:rPr>
          <w:rFonts w:ascii="Times New Roman" w:hAnsi="Times New Roman"/>
          <w:b w:val="false"/>
          <w:i w:val="false"/>
          <w:color w:val="000000"/>
          <w:sz w:val="21"/>
        </w:rPr>
        <w:t xml:space="preserve"> (Notice ARC 8144B, IAB 9/9/09)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4910C</w:t>
      </w:r>
      <w:r>
        <w:rPr>
          <w:rFonts w:ascii="Times New Roman" w:hAnsi="Times New Roman"/>
          <w:b w:val="false"/>
          <w:i w:val="false"/>
          <w:color w:val="000000"/>
          <w:sz w:val="21"/>
        </w:rPr>
        <w:t xml:space="preserve"> (Notice ARC 4821C, IAB 12/18/19)</w:t>
      </w:r>
      <w:r>
        <w:rPr>
          <w:rFonts w:ascii="Times New Roman" w:hAnsi="Times New Roman"/>
          <w:b w:val="false"/>
          <w:i w:val="false"/>
          <w:color w:val="000000"/>
          <w:sz w:val="21"/>
        </w:rPr>
        <w:t>, IAB 2/12/20, effective 3/18/20]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2B.16B.pdf" Type="http://schemas.openxmlformats.org/officeDocument/2006/relationships/hyperlink" Id="rId5"/>
    <Relationship TargetMode="External" Target="https://www.legis.iowa.gov/docs/iac/rule/191.1.1.pdf" Type="http://schemas.openxmlformats.org/officeDocument/2006/relationships/hyperlink" Id="rId6"/>
    <Relationship TargetMode="External" Target="https://www.legis.iowa.gov/docs/iac/rule/191.13.4.pdf" Type="http://schemas.openxmlformats.org/officeDocument/2006/relationships/hyperlink" Id="rId7"/>
    <Relationship TargetMode="External" Target="http://www.dps.state.ia.us" Type="http://schemas.openxmlformats.org/officeDocument/2006/relationships/hyperlink" Id="rId8"/>
    <Relationship TargetMode="External" Target="https://www.legis.iowa.gov/docs/iac/rule/191.13.5.pdf" Type="http://schemas.openxmlformats.org/officeDocument/2006/relationships/hyperlink" Id="rId9"/>
    <Relationship TargetMode="External" Target="https://www.legis.iowa.gov/docs/ico/chapter/505.8.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505.8.pdf" Type="http://schemas.openxmlformats.org/officeDocument/2006/relationships/hyperlink" Id="rId12"/>
    <Relationship TargetMode="External" Target="https://www.legis.iowa.gov/docs/iac/rule/191.13.8.pdf" Type="http://schemas.openxmlformats.org/officeDocument/2006/relationships/hyperlink" Id="rId13"/>
    <Relationship TargetMode="External" Target="https://www.legis.iowa.gov/docs/iac/rule/191.13.8.pdf" Type="http://schemas.openxmlformats.org/officeDocument/2006/relationships/hyperlink" Id="rId14"/>
    <Relationship TargetMode="External" Target="https://www.legis.iowa.gov/docs/iac/rule/191.13.8.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522B.2.pdf" Type="http://schemas.openxmlformats.org/officeDocument/2006/relationships/hyperlink" Id="rId17"/>
    <Relationship TargetMode="External" Target="https://www.legis.iowa.gov/docs/ico/chapter/522B.17.pdf" Type="http://schemas.openxmlformats.org/officeDocument/2006/relationships/hyperlink" Id="rId18"/>
    <Relationship TargetMode="External" Target="https://www.legis.iowa.gov/docs/ico/chapter/505.pdf" Type="http://schemas.openxmlformats.org/officeDocument/2006/relationships/hyperlink" Id="rId19"/>
    <Relationship TargetMode="External" Target="https://www.legis.iowa.gov/docs/ico/chapter/522B.16B.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