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TERM AND UNIVERSAL LIFE INSURANCE RESERVE FINANCING</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191—112.1</w:t>
      </w:r>
      <w:r>
        <w:rPr>
          <w:rFonts w:ascii="Times New Roman" w:hAnsi="Times New Roman"/>
          <w:b/>
          <w:i w:val="false"/>
          <w:color w:val="000000"/>
          <w:sz w:val="22"/>
        </w:rPr>
        <w:t xml:space="preserve">(521B)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by the commissioner of insurance pursuant to Iowa Code sections </w:t>
      </w:r>
      <w:hyperlink r:id="rId5">
        <w:r>
          <w:rPr>
            <w:rStyle w:val="Hyperlink"/>
            <w:rFonts w:ascii="Times New Roman" w:hAnsi="Times New Roman"/>
            <w:b w:val="false"/>
            <w:i w:val="false"/>
            <w:color w:val="000000"/>
            <w:sz w:val="22"/>
          </w:rPr>
          <w:t>521B.102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521B.103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521B.105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191—112.2</w:t>
      </w:r>
      <w:r>
        <w:rPr>
          <w:rFonts w:ascii="Times New Roman" w:hAnsi="Times New Roman"/>
          <w:b/>
          <w:i w:val="false"/>
          <w:color w:val="000000"/>
          <w:sz w:val="22"/>
        </w:rPr>
        <w:t xml:space="preserve">(521B) </w:t>
      </w:r>
      <w:r>
        <w:rPr>
          <w:rFonts w:ascii="Times New Roman" w:hAnsi="Times New Roman"/>
          <w:b/>
          <w:i w:val="false"/>
          <w:color w:val="000000"/>
          <w:sz w:val="22"/>
        </w:rPr>
        <w:t xml:space="preserve">Purpose and intent. </w:t>
      </w:r>
      <w:r>
        <w:rPr>
          <w:rFonts w:ascii="Times New Roman" w:hAnsi="Times New Roman"/>
          <w:b w:val="false"/>
          <w:i w:val="false"/>
          <w:color w:val="000000"/>
          <w:sz w:val="22"/>
        </w:rPr>
        <w:t xml:space="preserve">The purpose and intent of this chapter is to establish uniform, national standards governing reserve financing arrangements pertaining to life insurance policies containing guaranteed nonlevel gross premiums, life insurance policies containing guaranteed nonlevel benefits, and universal life insurance policies with secondary guarantees; and to ensure that, with respect to each such financing arrangement, funds consisting of primary security and other security, as defined in rule 191—112.5(521B), are held by or on behalf of ceding insurers in the forms and amounts required herein. In general, reinsurance ceded for reserve financing purposes has one or more of the following characteristics: some or all of the assets used to secure the reinsurance treaty or to capitalize the reinsurer (1) are issued by the ceding insurer or its affiliates; or (2) are not unconditionally available to satisfy the general account obligations of the ceding insurer; or (3) create a reimbursement, indemnification or other similar obligation on the part of the ceding insurer or any of its affiliates (other than a payment obligation under a derivative contract acquired in the normal course and used to support and hedge liabilities pertaining to the actual risks in the policies ceded pursuant to the reinsurance treaty).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191—112.3</w:t>
      </w:r>
      <w:r>
        <w:rPr>
          <w:rFonts w:ascii="Times New Roman" w:hAnsi="Times New Roman"/>
          <w:b/>
          <w:i w:val="false"/>
          <w:color w:val="000000"/>
          <w:sz w:val="22"/>
        </w:rPr>
        <w:t xml:space="preserve">(521B)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shall apply to reinsurance treaties that cede liabilities pertaining to covered policies, as that term is defined in rule 191—112.5(521B), issued by any life insurance company domiciled in this state. This chapter and rule 191—5.33(510) shall both apply to such reinsurance treaties; provided, that in the event of a direct conflict between a rule of this chapter and rule 191—5.33(510), the rules of this chapter shall apply, but only to the extent necessary in order to resolve the conflict.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191—112.4</w:t>
      </w:r>
      <w:r>
        <w:rPr>
          <w:rFonts w:ascii="Times New Roman" w:hAnsi="Times New Roman"/>
          <w:b/>
          <w:i w:val="false"/>
          <w:color w:val="000000"/>
          <w:sz w:val="22"/>
        </w:rPr>
        <w:t xml:space="preserve">(521B) </w:t>
      </w:r>
      <w:r>
        <w:rPr>
          <w:rFonts w:ascii="Times New Roman" w:hAnsi="Times New Roman"/>
          <w:b/>
          <w:i w:val="false"/>
          <w:color w:val="000000"/>
          <w:sz w:val="22"/>
        </w:rPr>
        <w:t xml:space="preserve">Exemptions. </w:t>
      </w:r>
      <w:r>
        <w:rPr>
          <w:rFonts w:ascii="Times New Roman" w:hAnsi="Times New Roman"/>
          <w:b w:val="false"/>
          <w:i w:val="false"/>
          <w:color w:val="000000"/>
          <w:sz w:val="22"/>
        </w:rPr>
        <w:t>This chapter does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val="false"/>
          <w:color w:val="000000"/>
          <w:sz w:val="22"/>
        </w:rPr>
        <w:t>Reinsurance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that satisfy the criteria for exemption set forth in 191—subrule 47.5(6) or 47.5(7); and which are issued before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January 10, 2018,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ceding insurer begins to apply the provisions of VM-20 to establish the ceded policies’ statutory reserves, but in no event later than January 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Portions of policies that satisfy the criteria for exemption set forth in 191—subrule 47.5(5) and which are issued before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January 10, 2018,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ceding insurer begins to apply the provisions of VM-20 to establish the ceded policies’ statutory reserves, but in no event later than January 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universal life policy that meets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Secondary guarantee period, if any, is five years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Specified premium for the secondary guarantee period is not less than the net level reserve premium for the secondary guarantee period based on the commissioners standard ordinary (CSO) valuation tables and valuation interest rate applicable to the issue year of the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surrender charge is not less than 100 percent of the first year annualized specified premium for the secondary guarantee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variable life insurance policy that provides for life insurance, the amount or duration of which varies according to the investment experience of any separate account or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group life insurance certificate unless the certificate provides for a stated or implied schedule of maximum gross premiums required in order to continue coverage in force for a period in excess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val="false"/>
          <w:color w:val="000000"/>
          <w:sz w:val="22"/>
        </w:rPr>
        <w:t xml:space="preserve">Reinsurance ceded to an assuming insurer that meets the applicable requirements of Iowa Code section </w:t>
      </w:r>
      <w:hyperlink r:id="rId8">
        <w:r>
          <w:rPr>
            <w:rStyle w:val="Hyperlink"/>
            <w:rFonts w:ascii="Times New Roman" w:hAnsi="Times New Roman"/>
            <w:b w:val="false"/>
            <w:i w:val="false"/>
            <w:color w:val="000000"/>
            <w:sz w:val="22"/>
          </w:rPr>
          <w:t>521B.102(4)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val="false"/>
          <w:color w:val="000000"/>
          <w:sz w:val="22"/>
        </w:rPr>
        <w:t xml:space="preserve">Reinsurance ceded to an assuming insurer that meets the applicable requirements of Iowa Code sections </w:t>
      </w:r>
      <w:hyperlink r:id="rId9">
        <w:r>
          <w:rPr>
            <w:rStyle w:val="Hyperlink"/>
            <w:rFonts w:ascii="Times New Roman" w:hAnsi="Times New Roman"/>
            <w:b w:val="false"/>
            <w:i w:val="false"/>
            <w:color w:val="000000"/>
            <w:sz w:val="22"/>
          </w:rPr>
          <w:t>521B.102(1) to 521B.102(3)</w:t>
        </w:r>
      </w:hyperlink>
      <w:r>
        <w:rPr>
          <w:rFonts w:ascii="Times New Roman" w:hAnsi="Times New Roman"/>
          <w:b w:val="false"/>
          <w:i w:val="false"/>
          <w:color w:val="000000"/>
          <w:sz w:val="22"/>
        </w:rPr>
        <w:t>, and that,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Prepares statutory financial statements in compliance with the National Association of Insurance Commissioners (NAIC) Accounting Practices and Procedures Manual, without any departures from NAIC statutory accounting practices and procedures pertaining to the admissibility or valuation of assets or liabilities that increase the assuming insurer’s reported surplus and are material enough that they need to be disclosed in the financial statement of the assuming insurer pursuant to Statement of Statutory Accounting Principles No. 1 (SSAP 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in a company-action-level event, regulatory-action-level event, authorized-control-level event, or mandatory-control-level event as those terms are defined in Iowa Code section </w:t>
      </w:r>
      <w:hyperlink r:id="rId10">
        <w:r>
          <w:rPr>
            <w:rStyle w:val="Hyperlink"/>
            <w:rFonts w:ascii="Times New Roman" w:hAnsi="Times New Roman"/>
            <w:b w:val="false"/>
            <w:i w:val="false"/>
            <w:color w:val="000000"/>
            <w:sz w:val="22"/>
          </w:rPr>
          <w:t>521E.1</w:t>
        </w:r>
      </w:hyperlink>
      <w:r>
        <w:rPr>
          <w:rFonts w:ascii="Times New Roman" w:hAnsi="Times New Roman"/>
          <w:b w:val="false"/>
          <w:i w:val="false"/>
          <w:color w:val="000000"/>
          <w:sz w:val="22"/>
        </w:rPr>
        <w:t xml:space="preserve"> et seq. when its risk-based capital (RBC) is calculated in accordance with the life risk-based capital report including overview and instructions for companies, as the same may be amended by the NAIC from time to time, without deviation.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112.4(4)</w:t>
      </w:r>
      <w:r>
        <w:rPr>
          <w:rFonts w:ascii="Times New Roman" w:hAnsi="Times New Roman"/>
          <w:b w:val="false"/>
          <w:i w:val="false"/>
          <w:color w:val="000000"/>
          <w:sz w:val="22"/>
        </w:rPr>
        <w:t> </w:t>
      </w:r>
      <w:r>
        <w:rPr>
          <w:rFonts w:ascii="Times New Roman" w:hAnsi="Times New Roman"/>
          <w:b w:val="false"/>
          <w:i w:val="false"/>
          <w:color w:val="000000"/>
          <w:sz w:val="22"/>
        </w:rPr>
        <w:t xml:space="preserve">Reinsurance ceded to an assuming insurer that meets the applicable requirements of Iowa Code sections </w:t>
      </w:r>
      <w:hyperlink r:id="rId11">
        <w:r>
          <w:rPr>
            <w:rStyle w:val="Hyperlink"/>
            <w:rFonts w:ascii="Times New Roman" w:hAnsi="Times New Roman"/>
            <w:b w:val="false"/>
            <w:i w:val="false"/>
            <w:color w:val="000000"/>
            <w:sz w:val="22"/>
          </w:rPr>
          <w:t>521B.102(1) to 521B.102(3)</w:t>
        </w:r>
      </w:hyperlink>
      <w:r>
        <w:rPr>
          <w:rFonts w:ascii="Times New Roman" w:hAnsi="Times New Roman"/>
          <w:b w:val="false"/>
          <w:i w:val="false"/>
          <w:color w:val="000000"/>
          <w:sz w:val="22"/>
        </w:rPr>
        <w:t>, and that,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an affiliate of, as that term is defined in Iowa Code section </w:t>
      </w:r>
      <w:hyperlink r:id="rId12">
        <w:r>
          <w:rPr>
            <w:rStyle w:val="Hyperlink"/>
            <w:rFonts w:ascii="Times New Roman" w:hAnsi="Times New Roman"/>
            <w:b w:val="false"/>
            <w:i w:val="false"/>
            <w:color w:val="000000"/>
            <w:sz w:val="22"/>
          </w:rPr>
          <w:t>521A.1(1)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insurer ceding the business to the assuming insurer,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insurer that directly or indirectly ceded the business to that ceding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Prepares statutory financial statements in compliance with the NAIC Accounting Practices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Licensed or accredited in at least ten states (including its state of domicile),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licensed in any state as a captive, special purpose vehicle, special purpose financial captive, special purpose life reinsurance company, limited purpose subsidiary, or any other similar licensing regime;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or would not be, below 500 percent of the authorized-control-level RBC as that term is defined in Iowa Code section </w:t>
      </w:r>
      <w:hyperlink r:id="rId13">
        <w:r>
          <w:rPr>
            <w:rStyle w:val="Hyperlink"/>
            <w:rFonts w:ascii="Times New Roman" w:hAnsi="Times New Roman"/>
            <w:b w:val="false"/>
            <w:i w:val="false"/>
            <w:color w:val="000000"/>
            <w:sz w:val="22"/>
          </w:rPr>
          <w:t>521E.1(12)</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its RBC is calculated in accordance with the life risk-based capital report including overview and instructions for companies, as the same may be amended by the NAIC from time to time, without deviation, and without recognition of any departures from the NAIC statutory accounting practices and procedures pertaining to the admission or valuation of assets or liabilities that increase the assuming insurer’s reported surplus.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112.4(5)</w:t>
      </w:r>
      <w:r>
        <w:rPr>
          <w:rFonts w:ascii="Times New Roman" w:hAnsi="Times New Roman"/>
          <w:b w:val="false"/>
          <w:i w:val="false"/>
          <w:color w:val="000000"/>
          <w:sz w:val="22"/>
        </w:rPr>
        <w:t> </w:t>
      </w:r>
      <w:r>
        <w:rPr>
          <w:rFonts w:ascii="Times New Roman" w:hAnsi="Times New Roman"/>
          <w:b w:val="false"/>
          <w:i w:val="false"/>
          <w:color w:val="000000"/>
          <w:sz w:val="22"/>
        </w:rPr>
        <w:t xml:space="preserve">Reinsurance ceded to an assuming insurer that meets the requirements of Iowa Code section </w:t>
      </w:r>
      <w:hyperlink r:id="rId14">
        <w:r>
          <w:rPr>
            <w:rStyle w:val="Hyperlink"/>
            <w:rFonts w:ascii="Times New Roman" w:hAnsi="Times New Roman"/>
            <w:b w:val="false"/>
            <w:i w:val="false"/>
            <w:color w:val="000000"/>
            <w:sz w:val="22"/>
          </w:rPr>
          <w:t>521B.102(5)</w:t>
        </w:r>
      </w:hyperlink>
      <w:r>
        <w:rPr>
          <w:rFonts w:ascii="Times New Roman" w:hAnsi="Times New Roman"/>
          <w:b w:val="false"/>
          <w:i w:val="false"/>
          <w:color w:val="000000"/>
          <w:sz w:val="22"/>
        </w:rPr>
        <w:t xml:space="preserve"> pertaining to certain certified reinsurers that meet threshold size and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112.4(6)</w:t>
      </w:r>
      <w:r>
        <w:rPr>
          <w:rFonts w:ascii="Times New Roman" w:hAnsi="Times New Roman"/>
          <w:b w:val="false"/>
          <w:i w:val="false"/>
          <w:color w:val="000000"/>
          <w:sz w:val="22"/>
        </w:rPr>
        <w:t> </w:t>
      </w:r>
      <w:r>
        <w:rPr>
          <w:rFonts w:ascii="Times New Roman" w:hAnsi="Times New Roman"/>
          <w:b w:val="false"/>
          <w:i w:val="false"/>
          <w:color w:val="000000"/>
          <w:sz w:val="22"/>
        </w:rPr>
        <w:t>Reinsurance not otherwise exempt under subrules 112.4(1) to 112.4(5) if the commissioner, after consulting with the NAIC financial analysis working group (FAWG) or other group of regulators designated by the NAIC, as applicable, determines under all the facts and circumstances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are clearly outside of the intent and purpose of this chapter (as described in rule 191—112.2(521B)),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risks are included within the scope of this chapter only as a technicality,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of this chapter to those risks is not necessary to provide appropriate protection to policyholders. The commissioner shall post on the insurance division’s public Website a notice of any decision made pursuant to this subrule to exempt a reinsurance treaty from this chapter, as well as the general basis therefor (including a summary description of the treaty).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191—112.5</w:t>
      </w:r>
      <w:r>
        <w:rPr>
          <w:rFonts w:ascii="Times New Roman" w:hAnsi="Times New Roman"/>
          <w:b/>
          <w:i w:val="false"/>
          <w:color w:val="000000"/>
          <w:sz w:val="22"/>
        </w:rPr>
        <w:t xml:space="preserve">(521B)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“Actuarial method” </w:t>
      </w:r>
      <w:r>
        <w:rPr>
          <w:rFonts w:ascii="Times New Roman" w:hAnsi="Times New Roman"/>
          <w:b w:val="false"/>
          <w:i w:val="false"/>
          <w:color w:val="000000"/>
          <w:sz w:val="22"/>
        </w:rPr>
        <w:t>means the methodology used to determine the required level of primary security, as described in rule 191—112.6(521B).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policies” </w:t>
      </w:r>
      <w:r>
        <w:rPr>
          <w:rFonts w:ascii="Times New Roman" w:hAnsi="Times New Roman"/>
          <w:b w:val="false"/>
          <w:i w:val="false"/>
          <w:color w:val="000000"/>
          <w:sz w:val="22"/>
        </w:rPr>
        <w:t>means the following: Subject to the exemptions described in rule 191—112.4(521B), covered policies are those policies, other than grandfathered policies, of the following policy types: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Life insurance policies with guaranteed nonlevel gross premiums or guaranteed nonlevel benefits or both, except for flexible premium universal life insurance policies;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Flexible premium universal life insurance policies with provisions resulting in the ability of a policyholder to keep a policy in force over a secondary guarantee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“Grandfathered policies” </w:t>
      </w:r>
      <w:r>
        <w:rPr>
          <w:rFonts w:ascii="Times New Roman" w:hAnsi="Times New Roman"/>
          <w:b w:val="false"/>
          <w:i w:val="false"/>
          <w:color w:val="000000"/>
          <w:sz w:val="22"/>
        </w:rPr>
        <w:t>means policies of the types described in the definition of “covered policies” above that were: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Issued prior to January 1, 2015;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Ceded, as of December 31, 2014, as part of a reinsurance treaty that would not have met one of the exemptions set forth in rule 191—112.4(521B) had that rule then been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“Noncovered policies” </w:t>
      </w:r>
      <w:r>
        <w:rPr>
          <w:rFonts w:ascii="Times New Roman" w:hAnsi="Times New Roman"/>
          <w:b w:val="false"/>
          <w:i w:val="false"/>
          <w:color w:val="000000"/>
          <w:sz w:val="22"/>
        </w:rPr>
        <w:t>means any policy that does not meet the definition of “covered policies,” including grandfathered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security” </w:t>
      </w:r>
      <w:r>
        <w:rPr>
          <w:rFonts w:ascii="Times New Roman" w:hAnsi="Times New Roman"/>
          <w:b w:val="false"/>
          <w:i w:val="false"/>
          <w:color w:val="000000"/>
          <w:sz w:val="22"/>
        </w:rPr>
        <w:t>means any security acceptable to the commissioner other than security meeting the definition of “primary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security” </w:t>
      </w:r>
      <w:r>
        <w:rPr>
          <w:rFonts w:ascii="Times New Roman" w:hAnsi="Times New Roman"/>
          <w:b w:val="false"/>
          <w:i w:val="false"/>
          <w:color w:val="000000"/>
          <w:sz w:val="22"/>
        </w:rPr>
        <w:t>means the following forms of security: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Cash meeting the requirements of Iowa Code section </w:t>
      </w:r>
      <w:hyperlink r:id="rId15">
        <w:r>
          <w:rPr>
            <w:rStyle w:val="Hyperlink"/>
            <w:rFonts w:ascii="Times New Roman" w:hAnsi="Times New Roman"/>
            <w:b w:val="false"/>
            <w:i w:val="false"/>
            <w:color w:val="000000"/>
            <w:sz w:val="22"/>
          </w:rPr>
          <w:t>521B.103(2)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Securities listed by the NAIC Securities Valuation Office meeting the requirements of Iowa Code section </w:t>
      </w:r>
      <w:hyperlink r:id="rId16">
        <w:r>
          <w:rPr>
            <w:rStyle w:val="Hyperlink"/>
            <w:rFonts w:ascii="Times New Roman" w:hAnsi="Times New Roman"/>
            <w:b w:val="false"/>
            <w:i w:val="false"/>
            <w:color w:val="000000"/>
            <w:sz w:val="22"/>
          </w:rPr>
          <w:t>521B.103(2)</w:t>
        </w:r>
      </w:hyperlink>
      <w:r>
        <w:rPr>
          <w:rFonts w:ascii="Times New Roman" w:hAnsi="Times New Roman"/>
          <w:b w:val="false"/>
          <w:i/>
          <w:color w:val="000000"/>
          <w:sz w:val="22"/>
        </w:rPr>
        <w:t>“b,”</w:t>
      </w:r>
      <w:r>
        <w:rPr>
          <w:rFonts w:ascii="Times New Roman" w:hAnsi="Times New Roman"/>
          <w:b w:val="false"/>
          <w:i w:val="false"/>
          <w:color w:val="000000"/>
          <w:sz w:val="22"/>
        </w:rPr>
        <w:t xml:space="preserve"> but excluding any synthetic letter of credit, contingent note, credit-linked note or other similar security that operates in a manner similar to a letter of credit, and excluding any securities issued by the ceding insurer or any of its affiliates;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security held in connection with funds-withheld and modified coinsurance reinsurance treaties: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Commercial loans in good standing of CM3 quality and higher;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Policy loans;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Derivatives acquired in the normal course and used to support and hedge liabilities pertaining to the actual risks in the policies ceded pursuant to the reinsurance treaty.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“Required level of primary security” </w:t>
      </w:r>
      <w:r>
        <w:rPr>
          <w:rFonts w:ascii="Times New Roman" w:hAnsi="Times New Roman"/>
          <w:b w:val="false"/>
          <w:i w:val="false"/>
          <w:color w:val="000000"/>
          <w:sz w:val="22"/>
        </w:rPr>
        <w:t>means the dollar amount determined by applying the actuarial method to the risks ceded with respect to covered policies, but not more than the total reserve ceded.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“Valuation manual” </w:t>
      </w:r>
      <w:r>
        <w:rPr>
          <w:rFonts w:ascii="Times New Roman" w:hAnsi="Times New Roman"/>
          <w:b w:val="false"/>
          <w:i w:val="false"/>
          <w:color w:val="000000"/>
          <w:sz w:val="22"/>
        </w:rPr>
        <w:t xml:space="preserve">means the valuation manual adopted by the NAIC as described in Iowa Code section </w:t>
      </w:r>
      <w:hyperlink r:id="rId17">
        <w:r>
          <w:rPr>
            <w:rStyle w:val="Hyperlink"/>
            <w:rFonts w:ascii="Times New Roman" w:hAnsi="Times New Roman"/>
            <w:b w:val="false"/>
            <w:i w:val="false"/>
            <w:color w:val="000000"/>
            <w:sz w:val="22"/>
          </w:rPr>
          <w:t>508.36(14)</w:t>
        </w:r>
      </w:hyperlink>
      <w:r>
        <w:rPr>
          <w:rFonts w:ascii="Times New Roman" w:hAnsi="Times New Roman"/>
          <w:b w:val="false"/>
          <w:i/>
          <w:color w:val="000000"/>
          <w:sz w:val="22"/>
        </w:rPr>
        <w:t>“b”</w:t>
      </w:r>
      <w:r>
        <w:rPr>
          <w:rFonts w:ascii="Times New Roman" w:hAnsi="Times New Roman"/>
          <w:b w:val="false"/>
          <w:i w:val="false"/>
          <w:color w:val="000000"/>
          <w:sz w:val="22"/>
        </w:rPr>
        <w:t>(1), with all amendments adopted by the NAIC that are effective for the financial statement date on which credit for reinsurance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“VM-20” </w:t>
      </w:r>
      <w:r>
        <w:rPr>
          <w:rFonts w:ascii="Times New Roman" w:hAnsi="Times New Roman"/>
          <w:b w:val="false"/>
          <w:i w:val="false"/>
          <w:color w:val="000000"/>
          <w:sz w:val="22"/>
        </w:rPr>
        <w:t>means “Requirements for Principle-Based Reserves for Life Products,” including all relevant definitions, from the valuation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191—112.6</w:t>
      </w:r>
      <w:r>
        <w:rPr>
          <w:rFonts w:ascii="Times New Roman" w:hAnsi="Times New Roman"/>
          <w:b/>
          <w:i w:val="false"/>
          <w:color w:val="000000"/>
          <w:sz w:val="22"/>
        </w:rPr>
        <w:t xml:space="preserve">(521B) </w:t>
      </w:r>
      <w:r>
        <w:rPr>
          <w:rFonts w:ascii="Times New Roman" w:hAnsi="Times New Roman"/>
          <w:b/>
          <w:i w:val="false"/>
          <w:color w:val="000000"/>
          <w:sz w:val="22"/>
        </w:rPr>
        <w:t xml:space="preserve">The actuarial method.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val="false"/>
          <w:color w:val="000000"/>
          <w:sz w:val="22"/>
        </w:rPr>
        <w:t>The actuarial method that is used to establish the required level of primary security for each reinsurance treaty subject to this chapter shall be VM-20, applied on a treaty-by-treaty basis, including all relevant definitions, from the valuation manual as then in effect,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covered policies described in paragraph “1” of the definition of “covered policies,” the actuarial method is the greater of the deterministic reserve or the net premium reserve (NPR) regardless of whether the criteria for exemption testing can be met. However, if the covered policies do not meet the requirements of the stochastic reserve exclusion test in the valuation manual, then the actuarial method is the greatest of the deterministic reserve, the stochastic reserve, or the NPR. In addition, if such covered policies are reinsured in a reinsurance treaty that also contains covered policies described in paragraph “2” of the definition of “covered policies,” the ceding insurer may elect to instead use paragraph 112.6(1)</w:t>
      </w:r>
      <w:r>
        <w:rPr>
          <w:rFonts w:ascii="Times New Roman" w:hAnsi="Times New Roman"/>
          <w:b w:val="false"/>
          <w:i/>
          <w:color w:val="000000"/>
          <w:sz w:val="22"/>
        </w:rPr>
        <w:t>“b”</w:t>
      </w:r>
      <w:r>
        <w:rPr>
          <w:rFonts w:ascii="Times New Roman" w:hAnsi="Times New Roman"/>
          <w:b w:val="false"/>
          <w:i w:val="false"/>
          <w:color w:val="000000"/>
          <w:sz w:val="22"/>
        </w:rPr>
        <w:t xml:space="preserve"> as the actuarial method for the entire reinsurance agreement. Regardless of whether paragraph 112.6(1)</w:t>
      </w:r>
      <w:r>
        <w:rPr>
          <w:rFonts w:ascii="Times New Roman" w:hAnsi="Times New Roman"/>
          <w:b w:val="false"/>
          <w:i/>
          <w:color w:val="000000"/>
          <w:sz w:val="22"/>
        </w:rPr>
        <w:t>“a”</w:t>
      </w:r>
      <w:r>
        <w:rPr>
          <w:rFonts w:ascii="Times New Roman" w:hAnsi="Times New Roman"/>
          <w:b w:val="false"/>
          <w:i w:val="false"/>
          <w:color w:val="000000"/>
          <w:sz w:val="22"/>
        </w:rPr>
        <w:t xml:space="preserve"> or 112.6(1)</w:t>
      </w:r>
      <w:r>
        <w:rPr>
          <w:rFonts w:ascii="Times New Roman" w:hAnsi="Times New Roman"/>
          <w:b w:val="false"/>
          <w:i/>
          <w:color w:val="000000"/>
          <w:sz w:val="22"/>
        </w:rPr>
        <w:t>“b”</w:t>
      </w:r>
      <w:r>
        <w:rPr>
          <w:rFonts w:ascii="Times New Roman" w:hAnsi="Times New Roman"/>
          <w:b w:val="false"/>
          <w:i w:val="false"/>
          <w:color w:val="000000"/>
          <w:sz w:val="22"/>
        </w:rPr>
        <w:t xml:space="preserve"> is used, the actuarial method must comply with any requirements or restrictions that the valuation manual imposes when aggregating these policy types for purposes of principle-based reserve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covered policies described in paragraph “2” of the definition of “covered policies,” the actuarial method is the greatest of the deterministic reserve, the stochastic reserve, or the NPR regardless of whether the criteria for exemption testing can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as provided in paragraph 112.6(1)</w:t>
      </w:r>
      <w:r>
        <w:rPr>
          <w:rFonts w:ascii="Times New Roman" w:hAnsi="Times New Roman"/>
          <w:b w:val="false"/>
          <w:i/>
          <w:color w:val="000000"/>
          <w:sz w:val="22"/>
        </w:rPr>
        <w:t>“d,”</w:t>
      </w:r>
      <w:r>
        <w:rPr>
          <w:rFonts w:ascii="Times New Roman" w:hAnsi="Times New Roman"/>
          <w:b w:val="false"/>
          <w:i w:val="false"/>
          <w:color w:val="000000"/>
          <w:sz w:val="22"/>
        </w:rPr>
        <w:t xml:space="preserve"> the actuarial method is to be applied on a gross basis to all risks with respect to the covered policies as originally issued or assumed by the ceding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reinsurance treaty cedes less than 100 percent of the risk with respect to the covered policies, then the required level of primary security may be reduced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reinsurance treaty cedes only a quota share of some or all of the risks pertaining to the covered policies, the required level of primary security, as well as any adjustment under subparagraph 112.6(1)</w:t>
      </w:r>
      <w:r>
        <w:rPr>
          <w:rFonts w:ascii="Times New Roman" w:hAnsi="Times New Roman"/>
          <w:b w:val="false"/>
          <w:i/>
          <w:color w:val="000000"/>
          <w:sz w:val="22"/>
        </w:rPr>
        <w:t>“d”</w:t>
      </w:r>
      <w:r>
        <w:rPr>
          <w:rFonts w:ascii="Times New Roman" w:hAnsi="Times New Roman"/>
          <w:b w:val="false"/>
          <w:i w:val="false"/>
          <w:color w:val="000000"/>
          <w:sz w:val="22"/>
        </w:rPr>
        <w:t>(3), may be reduced to a pro rata portion in accordance with the percentage of the risk ceded;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reinsurance treaty in a nonexempt arrangement cedes only the risks pertaining to a secondary guarantee, the required level of primary security may be reduced by an amount determined by applying the actuarial method on a gross basis to all risks, other than risks related to the secondary guarantee, pertaining to covered policies, except that for covered policies for which the ceding insurer did not elect to apply the provisions of VM-20 to establish statutory reserves, the required level of primary security may be reduced by the statutory reserve retained by the ceding insurer on those covered policies, provided that the retained reserve of those covered policies shall be reflective of any reduction pursuant to the cession of mortality risk on a yearly renewable term basis in an exempt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portion of the covered policy risk is ceded to another reinsurer on a yearly renewable term basis in an exempt arrangement, the required level of primary security may be reduced by the amount resulting by applying the actuarial method including the reinsurance section of VM-20 to the portion of the covered policy risks ceded in the exempt arrangement, except that for covered policies issued prior to January 1, 2017, this adjustment is not to exceed [c</w:t>
      </w:r>
      <w:r>
        <w:rPr>
          <w:rFonts w:ascii="Times New Roman" w:hAnsi="Times New Roman"/>
          <w:b w:val="false"/>
          <w:i/>
          <w:color w:val="000000"/>
          <w:sz w:val="18"/>
        </w:rPr>
        <w:t>x</w:t>
      </w:r>
      <w:r>
        <w:rPr>
          <w:rFonts w:ascii="Times New Roman" w:hAnsi="Times New Roman"/>
          <w:b w:val="false"/>
          <w:i w:val="false"/>
          <w:color w:val="000000"/>
          <w:sz w:val="22"/>
        </w:rPr>
        <w:t>/ (2 * number of reinsurance premiums per year)] where c</w:t>
      </w:r>
      <w:r>
        <w:rPr>
          <w:rFonts w:ascii="Times New Roman" w:hAnsi="Times New Roman"/>
          <w:b w:val="false"/>
          <w:i/>
          <w:color w:val="000000"/>
          <w:sz w:val="18"/>
        </w:rPr>
        <w:t>x</w:t>
      </w:r>
      <w:r>
        <w:rPr>
          <w:rFonts w:ascii="Times New Roman" w:hAnsi="Times New Roman"/>
          <w:b w:val="false"/>
          <w:i w:val="false"/>
          <w:color w:val="000000"/>
          <w:sz w:val="22"/>
        </w:rPr>
        <w:t xml:space="preserve"> is calculated using the same mortality table used in calculating the net premium 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any other treaty ceding a portion of risk to a different reinsurer, including but not limited to stop loss, excess of loss and other non-proportional reinsurance treaties, there will be no reduction in the required level of primary security.</w:t>
      </w:r>
    </w:p>
    <w:p>
      <w:pPr>
        <w:spacing w:before="0" w:after="0"/>
        <w:ind w:left="120"/>
        <w:jc w:val="both"/>
      </w:pPr>
      <w:r>
        <w:rPr>
          <w:rFonts w:ascii="Times New Roman" w:hAnsi="Times New Roman"/>
          <w:b w:val="false"/>
          <w:i w:val="false"/>
          <w:color w:val="000000"/>
          <w:sz w:val="22"/>
        </w:rPr>
        <w:t>It is possible for any combination of subparagraphs 112.6(1)</w:t>
      </w:r>
      <w:r>
        <w:rPr>
          <w:rFonts w:ascii="Times New Roman" w:hAnsi="Times New Roman"/>
          <w:b w:val="false"/>
          <w:i/>
          <w:color w:val="000000"/>
          <w:sz w:val="22"/>
        </w:rPr>
        <w:t>“d”</w:t>
      </w:r>
      <w:r>
        <w:rPr>
          <w:rFonts w:ascii="Times New Roman" w:hAnsi="Times New Roman"/>
          <w:b w:val="false"/>
          <w:i w:val="false"/>
          <w:color w:val="000000"/>
          <w:sz w:val="22"/>
        </w:rPr>
        <w:t>(1) to 112.6(1)</w:t>
      </w:r>
      <w:r>
        <w:rPr>
          <w:rFonts w:ascii="Times New Roman" w:hAnsi="Times New Roman"/>
          <w:b w:val="false"/>
          <w:i/>
          <w:color w:val="000000"/>
          <w:sz w:val="22"/>
        </w:rPr>
        <w:t>“d”</w:t>
      </w:r>
      <w:r>
        <w:rPr>
          <w:rFonts w:ascii="Times New Roman" w:hAnsi="Times New Roman"/>
          <w:b w:val="false"/>
          <w:i w:val="false"/>
          <w:color w:val="000000"/>
          <w:sz w:val="22"/>
        </w:rPr>
        <w:t>(4) to apply. Such adjustments to the required level of primary security will be done in the sequence that accurately reflects the portion of the risk ceded via the treaty. The ceding insurer shall document the rationale and steps taken to accomplish the adjustments to the required level of primary security due to the cession of less than 100 percent of the risk.</w:t>
      </w:r>
    </w:p>
    <w:p>
      <w:pPr>
        <w:spacing w:before="0" w:after="0"/>
        <w:ind w:left="120"/>
        <w:jc w:val="both"/>
      </w:pPr>
      <w:r>
        <w:rPr>
          <w:rFonts w:ascii="Times New Roman" w:hAnsi="Times New Roman"/>
          <w:b w:val="false"/>
          <w:i w:val="false"/>
          <w:color w:val="000000"/>
          <w:sz w:val="22"/>
        </w:rPr>
        <w:t xml:space="preserve">The adjustments for other reinsurance will be made only with respect to reinsurance treaties entered into directly by the ceding insurer. The ceding insurer will make no adjustment as a result of a retrocession treaty entered into by the assuming insurers.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no event will the required level of primary security resulting from application of the actuarial method exceed the amount of statutory reserves ceded.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ceding insurer cedes risks with respect to covered policies, including any riders, in more than one reinsurance treaty subject to this chapter, in no event will the aggregate required level of primary security for those reinsurance treaties be less than the required level of primary security calculated using the actuarial method as if all risks ceded in those treaties were ceded in a single treaty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reinsurance treaty subject to this chapter cedes risk on both covered and noncovered policies, credit for the ceded reserves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actuarial method shall be used to determine the required level of primary security for the covered policies, and rule 191—112.7(521B) shall be used to determine the reinsurance credit for the covered policy reserves;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Credit for the noncovered policy reserves shall be granted only to the extent that security, in addition to the security held to satisfy the requirements of subparagraph 112.6(1)</w:t>
      </w:r>
      <w:r>
        <w:rPr>
          <w:rFonts w:ascii="Times New Roman" w:hAnsi="Times New Roman"/>
          <w:b w:val="false"/>
          <w:i/>
          <w:color w:val="000000"/>
          <w:sz w:val="22"/>
        </w:rPr>
        <w:t>“g”</w:t>
      </w:r>
      <w:r>
        <w:rPr>
          <w:rFonts w:ascii="Times New Roman" w:hAnsi="Times New Roman"/>
          <w:b w:val="false"/>
          <w:i w:val="false"/>
          <w:color w:val="000000"/>
          <w:sz w:val="22"/>
        </w:rPr>
        <w:t xml:space="preserve">(1), is held by or on behalf of the ceding insurer in accordance with Iowa Code sections </w:t>
      </w:r>
      <w:hyperlink r:id="rId18">
        <w:r>
          <w:rPr>
            <w:rStyle w:val="Hyperlink"/>
            <w:rFonts w:ascii="Times New Roman" w:hAnsi="Times New Roman"/>
            <w:b w:val="false"/>
            <w:i w:val="false"/>
            <w:color w:val="000000"/>
            <w:sz w:val="22"/>
          </w:rPr>
          <w:t>521B.102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521B.103</w:t>
        </w:r>
      </w:hyperlink>
      <w:r>
        <w:rPr>
          <w:rFonts w:ascii="Times New Roman" w:hAnsi="Times New Roman"/>
          <w:b w:val="false"/>
          <w:i w:val="false"/>
          <w:color w:val="000000"/>
          <w:sz w:val="22"/>
        </w:rPr>
        <w:t>. Any primary security used to meet the requirements of this subparagraph may not be used to satisfy the required level of primary security for the covered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val="false"/>
          <w:color w:val="000000"/>
          <w:sz w:val="22"/>
        </w:rPr>
        <w:t>For the purposes of both calculating the required level of primary security pursuant to the actuarial method and determining the amount of primary security and other security, as applicable, held by or on behalf of the ceding insurer,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assets, including any such assets held in trust, that would be admitted under the NAIC Accounting Practices and Procedures Manual if they were held by the ceding insurer, the valuations are to be determined according to statutory accounting procedures as if such assets were held in the ceding insurer’s general account and without taking into consideration the effect of any prescribed or permitted practices;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assets, the valuations are to be those that were assigned to the assets for the purpose of determining the amount of reserve credit taken. In addition, the asset spread tables and asset default cost tables required by VM-20 shall be included in the actuarial method if adopted by the NAIC’s life actuarial (A) task force no later than the December 31st on or immediately preceding the valuation date for which the required level of primary security is being calculated. The tables of asset spreads and asset default costs shall be incorporated into the actuarial method in the manner specified in VM-20.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191—112.7</w:t>
      </w:r>
      <w:r>
        <w:rPr>
          <w:rFonts w:ascii="Times New Roman" w:hAnsi="Times New Roman"/>
          <w:b/>
          <w:i w:val="false"/>
          <w:color w:val="000000"/>
          <w:sz w:val="22"/>
        </w:rPr>
        <w:t xml:space="preserve">(521B) </w:t>
      </w:r>
      <w:r>
        <w:rPr>
          <w:rFonts w:ascii="Times New Roman" w:hAnsi="Times New Roman"/>
          <w:b/>
          <w:i w:val="false"/>
          <w:color w:val="000000"/>
          <w:sz w:val="22"/>
        </w:rPr>
        <w:t xml:space="preserve">Requirements applicable to covered policies to obtain credit for reinsurance; opportunity for remediation.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exemptions described in rule 191—112.4(521B) and the provisions of subrule 112.7(2), credit for reinsurance shall be allowed with respect to ceded liabilities pertaining to covered policies pursuant to Iowa Code sections </w:t>
      </w:r>
      <w:hyperlink r:id="rId20">
        <w:r>
          <w:rPr>
            <w:rStyle w:val="Hyperlink"/>
            <w:rFonts w:ascii="Times New Roman" w:hAnsi="Times New Roman"/>
            <w:b w:val="false"/>
            <w:i w:val="false"/>
            <w:color w:val="000000"/>
            <w:sz w:val="22"/>
          </w:rPr>
          <w:t>521B.102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521B.103</w:t>
        </w:r>
      </w:hyperlink>
      <w:r>
        <w:rPr>
          <w:rFonts w:ascii="Times New Roman" w:hAnsi="Times New Roman"/>
          <w:b w:val="false"/>
          <w:i w:val="false"/>
          <w:color w:val="000000"/>
          <w:sz w:val="22"/>
        </w:rPr>
        <w:t xml:space="preserve"> if, and only if, in addition to all other requirements imposed by law or rules, the following requirements are met on a treaty-by-treaty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ceding insurer’s statutory policy reserves with respect to the covered policies are established in full and in accordance with the applicable requirements of Iowa Code section </w:t>
      </w:r>
      <w:hyperlink r:id="rId22">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and related rules and actuarial guidelines, and credit claimed for any reinsurance treaty subject to this chapter does not exceed the proportionate share of those reserves ceded under the contract;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ceding insurer determines the required level of primary security with respect to each reinsurance treaty subject to this chapter and provides support for its calculation as determined to be acceptable to the commissioner;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consisting of primary security, in an amount at least equal to the required level of primary security, are held by or on behalf of the ceding insurer, as security under the reinsurance treaty within the meaning of Iowa Code section </w:t>
      </w:r>
      <w:hyperlink r:id="rId23">
        <w:r>
          <w:rPr>
            <w:rStyle w:val="Hyperlink"/>
            <w:rFonts w:ascii="Times New Roman" w:hAnsi="Times New Roman"/>
            <w:b w:val="false"/>
            <w:i w:val="false"/>
            <w:color w:val="000000"/>
            <w:sz w:val="22"/>
          </w:rPr>
          <w:t>521B.103</w:t>
        </w:r>
      </w:hyperlink>
      <w:r>
        <w:rPr>
          <w:rFonts w:ascii="Times New Roman" w:hAnsi="Times New Roman"/>
          <w:b w:val="false"/>
          <w:i w:val="false"/>
          <w:color w:val="000000"/>
          <w:sz w:val="22"/>
        </w:rPr>
        <w:t>, on a funds-withheld, trust, or modified coinsurance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consisting of other security, in an amount at least equal to any portion of the statutory reserves as to which primary security is not held pursuant to paragraph 112.7(1)</w:t>
      </w:r>
      <w:r>
        <w:rPr>
          <w:rFonts w:ascii="Times New Roman" w:hAnsi="Times New Roman"/>
          <w:b w:val="false"/>
          <w:i/>
          <w:color w:val="000000"/>
          <w:sz w:val="22"/>
        </w:rPr>
        <w:t>“c,”</w:t>
      </w:r>
      <w:r>
        <w:rPr>
          <w:rFonts w:ascii="Times New Roman" w:hAnsi="Times New Roman"/>
          <w:b w:val="false"/>
          <w:i w:val="false"/>
          <w:color w:val="000000"/>
          <w:sz w:val="22"/>
        </w:rPr>
        <w:t xml:space="preserve"> are held by or on behalf of the ceding insurer as security under the reinsurance treaty within the meaning of Iowa Code section </w:t>
      </w:r>
      <w:hyperlink r:id="rId24">
        <w:r>
          <w:rPr>
            <w:rStyle w:val="Hyperlink"/>
            <w:rFonts w:ascii="Times New Roman" w:hAnsi="Times New Roman"/>
            <w:b w:val="false"/>
            <w:i w:val="false"/>
            <w:color w:val="000000"/>
            <w:sz w:val="22"/>
          </w:rPr>
          <w:t>521B.103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trust used to satisfy the requirements of rule </w:t>
      </w:r>
      <w:hyperlink r:id="rId25">
        <w:r>
          <w:rPr>
            <w:rStyle w:val="Hyperlink"/>
            <w:rFonts w:ascii="Times New Roman" w:hAnsi="Times New Roman"/>
            <w:b w:val="false"/>
            <w:i w:val="false"/>
            <w:color w:val="000000"/>
            <w:sz w:val="22"/>
          </w:rPr>
          <w:t>191—112.7</w:t>
        </w:r>
      </w:hyperlink>
      <w:r>
        <w:rPr>
          <w:rFonts w:ascii="Times New Roman" w:hAnsi="Times New Roman"/>
          <w:b w:val="false"/>
          <w:i w:val="false"/>
          <w:color w:val="000000"/>
          <w:sz w:val="22"/>
        </w:rPr>
        <w:t xml:space="preserve">(521B) shall comply with all of the conditions and qualifications of 191—subrule </w:t>
      </w:r>
      <w:hyperlink r:id="rId26">
        <w:r>
          <w:rPr>
            <w:rStyle w:val="Hyperlink"/>
            <w:rFonts w:ascii="Times New Roman" w:hAnsi="Times New Roman"/>
            <w:b w:val="false"/>
            <w:i w:val="false"/>
            <w:color w:val="000000"/>
            <w:sz w:val="22"/>
          </w:rPr>
          <w:t>5.33(11)</w:t>
        </w:r>
      </w:hyperlink>
      <w:r>
        <w:rPr>
          <w:rFonts w:ascii="Times New Roman" w:hAnsi="Times New Roman"/>
          <w:b w:val="false"/>
          <w:i w:val="false"/>
          <w:color w:val="000000"/>
          <w:sz w:val="22"/>
        </w:rPr>
        <w:t>,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consisting of primary security or other security held in trust shall, for the purposes identified in </w:t>
      </w:r>
      <w:hyperlink r:id="rId27">
        <w:r>
          <w:rPr>
            <w:rStyle w:val="Hyperlink"/>
            <w:rFonts w:ascii="Times New Roman" w:hAnsi="Times New Roman"/>
            <w:b w:val="false"/>
            <w:i w:val="false"/>
            <w:color w:val="000000"/>
            <w:sz w:val="22"/>
          </w:rPr>
          <w:t>subrule 112.6(2)</w:t>
        </w:r>
      </w:hyperlink>
      <w:r>
        <w:rPr>
          <w:rFonts w:ascii="Times New Roman" w:hAnsi="Times New Roman"/>
          <w:b w:val="false"/>
          <w:i w:val="false"/>
          <w:color w:val="000000"/>
          <w:sz w:val="22"/>
        </w:rPr>
        <w:t xml:space="preserve">, be valued according to the valuation rules set forth in </w:t>
      </w:r>
      <w:hyperlink r:id="rId28">
        <w:r>
          <w:rPr>
            <w:rStyle w:val="Hyperlink"/>
            <w:rFonts w:ascii="Times New Roman" w:hAnsi="Times New Roman"/>
            <w:b w:val="false"/>
            <w:i w:val="false"/>
            <w:color w:val="000000"/>
            <w:sz w:val="22"/>
          </w:rPr>
          <w:t>subrule 112.6(2)</w:t>
        </w:r>
      </w:hyperlink>
      <w:r>
        <w:rPr>
          <w:rFonts w:ascii="Times New Roman" w:hAnsi="Times New Roman"/>
          <w:b w:val="false"/>
          <w:i w:val="false"/>
          <w:color w:val="000000"/>
          <w:sz w:val="22"/>
        </w:rPr>
        <w:t>, as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no affiliate investment limitations with respect to any security held in such trust if such security is not needed to satisfy the requirements of </w:t>
      </w:r>
      <w:hyperlink r:id="rId29">
        <w:r>
          <w:rPr>
            <w:rStyle w:val="Hyperlink"/>
            <w:rFonts w:ascii="Times New Roman" w:hAnsi="Times New Roman"/>
            <w:b w:val="false"/>
            <w:i w:val="false"/>
            <w:color w:val="000000"/>
            <w:sz w:val="22"/>
          </w:rPr>
          <w:t>paragraph 112.7(1)</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reinsurance treaty must prohibit withdrawals or substitutions of trust assets that would leave the fair market value of the primary security within the trust (when aggregated with primary security outside the trust that is held by or on behalf of the ceding insurer in the manner required by </w:t>
      </w:r>
      <w:hyperlink r:id="rId30">
        <w:r>
          <w:rPr>
            <w:rStyle w:val="Hyperlink"/>
            <w:rFonts w:ascii="Times New Roman" w:hAnsi="Times New Roman"/>
            <w:b w:val="false"/>
            <w:i w:val="false"/>
            <w:color w:val="000000"/>
            <w:sz w:val="22"/>
          </w:rPr>
          <w:t>paragraph 112.7(1)</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102 percent of the level required by </w:t>
      </w:r>
      <w:hyperlink r:id="rId31">
        <w:r>
          <w:rPr>
            <w:rStyle w:val="Hyperlink"/>
            <w:rFonts w:ascii="Times New Roman" w:hAnsi="Times New Roman"/>
            <w:b w:val="false"/>
            <w:i w:val="false"/>
            <w:color w:val="000000"/>
            <w:sz w:val="22"/>
          </w:rPr>
          <w:t>paragraph 112.7(1)</w:t>
        </w:r>
      </w:hyperlink>
      <w:r>
        <w:rPr>
          <w:rFonts w:ascii="Times New Roman" w:hAnsi="Times New Roman"/>
          <w:b w:val="false"/>
          <w:i/>
          <w:color w:val="000000"/>
          <w:sz w:val="22"/>
        </w:rPr>
        <w:t>“c”</w:t>
      </w:r>
      <w:r>
        <w:rPr>
          <w:rFonts w:ascii="Times New Roman" w:hAnsi="Times New Roman"/>
          <w:b w:val="false"/>
          <w:i w:val="false"/>
          <w:color w:val="000000"/>
          <w:sz w:val="22"/>
        </w:rPr>
        <w:t xml:space="preserve"> at the time of the withdrawal or substitution;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determination of reserve credit under 191—subparagraphs </w:t>
      </w:r>
      <w:hyperlink r:id="rId32">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 xml:space="preserve">(3) to </w:t>
      </w:r>
      <w:hyperlink r:id="rId33">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 xml:space="preserve">(5) shall be determined according to the valuation rules set forth in </w:t>
      </w:r>
      <w:hyperlink r:id="rId34">
        <w:r>
          <w:rPr>
            <w:rStyle w:val="Hyperlink"/>
            <w:rFonts w:ascii="Times New Roman" w:hAnsi="Times New Roman"/>
            <w:b w:val="false"/>
            <w:i w:val="false"/>
            <w:color w:val="000000"/>
            <w:sz w:val="22"/>
          </w:rPr>
          <w:t>subrule 112.6(2)</w:t>
        </w:r>
      </w:hyperlink>
      <w:r>
        <w:rPr>
          <w:rFonts w:ascii="Times New Roman" w:hAnsi="Times New Roman"/>
          <w:b w:val="false"/>
          <w:i w:val="false"/>
          <w:color w:val="000000"/>
          <w:sz w:val="22"/>
        </w:rPr>
        <w:t>, as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reinsurance treaty has been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val="false"/>
          <w:color w:val="000000"/>
          <w:sz w:val="22"/>
        </w:rPr>
        <w:t>Requirements at inception date and on an ongoing basis;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requirements of subrule 112.7(1) must be satisfied as of the date that risks under covered policies are ceded (if such date is on or after January 10, 2018) and on an ongoing basis thereafter. Under no circumstances shall a ceding insurer take or consent to any action or series of actions that would result in a deficiency under paragraph 112.7(1)</w:t>
      </w:r>
      <w:r>
        <w:rPr>
          <w:rFonts w:ascii="Times New Roman" w:hAnsi="Times New Roman"/>
          <w:b w:val="false"/>
          <w:i/>
          <w:color w:val="000000"/>
          <w:sz w:val="22"/>
        </w:rPr>
        <w:t>“c”</w:t>
      </w:r>
      <w:r>
        <w:rPr>
          <w:rFonts w:ascii="Times New Roman" w:hAnsi="Times New Roman"/>
          <w:b w:val="false"/>
          <w:i w:val="false"/>
          <w:color w:val="000000"/>
          <w:sz w:val="22"/>
        </w:rPr>
        <w:t xml:space="preserve"> or 112.7(1)</w:t>
      </w:r>
      <w:r>
        <w:rPr>
          <w:rFonts w:ascii="Times New Roman" w:hAnsi="Times New Roman"/>
          <w:b w:val="false"/>
          <w:i/>
          <w:color w:val="000000"/>
          <w:sz w:val="22"/>
        </w:rPr>
        <w:t>“d”</w:t>
      </w:r>
      <w:r>
        <w:rPr>
          <w:rFonts w:ascii="Times New Roman" w:hAnsi="Times New Roman"/>
          <w:b w:val="false"/>
          <w:i w:val="false"/>
          <w:color w:val="000000"/>
          <w:sz w:val="22"/>
        </w:rPr>
        <w:t xml:space="preserve"> with respect to any reinsurance treaty under which covered policies have been ceded, and in the event that a ceding insurer becomes aware at any time that such a deficiency exists, it shall use its best efforts to arrange for the deficiency to be eliminated as expeditiously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due date of each quarterly or annual statement, each life insurance company that has ceded reinsurance within the scope of rule 191—112.3(521B) shall perform an analysis, on a treaty-by-treaty basis, to determine, as to each reinsurance treaty under which covered policies have been ceded, whether as of the end of the immediately preceding calendar quarter (the valuation date) the requirements of paragraphs 112.7(1)</w:t>
      </w:r>
      <w:r>
        <w:rPr>
          <w:rFonts w:ascii="Times New Roman" w:hAnsi="Times New Roman"/>
          <w:b w:val="false"/>
          <w:i/>
          <w:color w:val="000000"/>
          <w:sz w:val="22"/>
        </w:rPr>
        <w:t>“c”</w:t>
      </w:r>
      <w:r>
        <w:rPr>
          <w:rFonts w:ascii="Times New Roman" w:hAnsi="Times New Roman"/>
          <w:b w:val="false"/>
          <w:i w:val="false"/>
          <w:color w:val="000000"/>
          <w:sz w:val="22"/>
        </w:rPr>
        <w:t xml:space="preserve"> and 112.7(1)</w:t>
      </w:r>
      <w:r>
        <w:rPr>
          <w:rFonts w:ascii="Times New Roman" w:hAnsi="Times New Roman"/>
          <w:b w:val="false"/>
          <w:i/>
          <w:color w:val="000000"/>
          <w:sz w:val="22"/>
        </w:rPr>
        <w:t>“d”</w:t>
      </w:r>
      <w:r>
        <w:rPr>
          <w:rFonts w:ascii="Times New Roman" w:hAnsi="Times New Roman"/>
          <w:b w:val="false"/>
          <w:i w:val="false"/>
          <w:color w:val="000000"/>
          <w:sz w:val="22"/>
        </w:rPr>
        <w:t xml:space="preserve"> were satisfied. The ceding insurer shall establish a liability equal to the excess of the credit for reinsurance taken over the amount of primary security actually held pursuant to paragraph 112.7(1)</w:t>
      </w:r>
      <w:r>
        <w:rPr>
          <w:rFonts w:ascii="Times New Roman" w:hAnsi="Times New Roman"/>
          <w:b w:val="false"/>
          <w:i/>
          <w:color w:val="000000"/>
          <w:sz w:val="22"/>
        </w:rPr>
        <w:t>“c,”</w:t>
      </w:r>
      <w:r>
        <w:rPr>
          <w:rFonts w:ascii="Times New Roman" w:hAnsi="Times New Roman"/>
          <w:b w:val="false"/>
          <w:i w:val="false"/>
          <w:color w:val="000000"/>
          <w:sz w:val="22"/>
        </w:rPr>
        <w:t xml:space="preserve"> unless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requirements of paragraphs 112.7(1)</w:t>
      </w:r>
      <w:r>
        <w:rPr>
          <w:rFonts w:ascii="Times New Roman" w:hAnsi="Times New Roman"/>
          <w:b w:val="false"/>
          <w:i/>
          <w:color w:val="000000"/>
          <w:sz w:val="22"/>
        </w:rPr>
        <w:t>“c”</w:t>
      </w:r>
      <w:r>
        <w:rPr>
          <w:rFonts w:ascii="Times New Roman" w:hAnsi="Times New Roman"/>
          <w:b w:val="false"/>
          <w:i w:val="false"/>
          <w:color w:val="000000"/>
          <w:sz w:val="22"/>
        </w:rPr>
        <w:t xml:space="preserve"> and 112.7(1)</w:t>
      </w:r>
      <w:r>
        <w:rPr>
          <w:rFonts w:ascii="Times New Roman" w:hAnsi="Times New Roman"/>
          <w:b w:val="false"/>
          <w:i/>
          <w:color w:val="000000"/>
          <w:sz w:val="22"/>
        </w:rPr>
        <w:t>“d”</w:t>
      </w:r>
      <w:r>
        <w:rPr>
          <w:rFonts w:ascii="Times New Roman" w:hAnsi="Times New Roman"/>
          <w:b w:val="false"/>
          <w:i w:val="false"/>
          <w:color w:val="000000"/>
          <w:sz w:val="22"/>
        </w:rPr>
        <w:t xml:space="preserve"> were fully satisfied as of the valuation date as to such reinsurance treaty;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deficiency has been eliminated before the due date of the quarterly or annual statement to which the valuation date relates through the addition of primary security or other security or both, as the case may be, in such amount and in such form as would have caused the requirements of paragraphs 112.7(1)</w:t>
      </w:r>
      <w:r>
        <w:rPr>
          <w:rFonts w:ascii="Times New Roman" w:hAnsi="Times New Roman"/>
          <w:b w:val="false"/>
          <w:i/>
          <w:color w:val="000000"/>
          <w:sz w:val="22"/>
        </w:rPr>
        <w:t>“c”</w:t>
      </w:r>
      <w:r>
        <w:rPr>
          <w:rFonts w:ascii="Times New Roman" w:hAnsi="Times New Roman"/>
          <w:b w:val="false"/>
          <w:i w:val="false"/>
          <w:color w:val="000000"/>
          <w:sz w:val="22"/>
        </w:rPr>
        <w:t xml:space="preserve"> and 112.7(1)</w:t>
      </w:r>
      <w:r>
        <w:rPr>
          <w:rFonts w:ascii="Times New Roman" w:hAnsi="Times New Roman"/>
          <w:b w:val="false"/>
          <w:i/>
          <w:color w:val="000000"/>
          <w:sz w:val="22"/>
        </w:rPr>
        <w:t>“d”</w:t>
      </w:r>
      <w:r>
        <w:rPr>
          <w:rFonts w:ascii="Times New Roman" w:hAnsi="Times New Roman"/>
          <w:b w:val="false"/>
          <w:i w:val="false"/>
          <w:color w:val="000000"/>
          <w:sz w:val="22"/>
        </w:rPr>
        <w:t xml:space="preserve"> to be fully satisfied as of the valuation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paragraph 112.7(2)</w:t>
      </w:r>
      <w:r>
        <w:rPr>
          <w:rFonts w:ascii="Times New Roman" w:hAnsi="Times New Roman"/>
          <w:b w:val="false"/>
          <w:i/>
          <w:color w:val="000000"/>
          <w:sz w:val="22"/>
        </w:rPr>
        <w:t>“b”</w:t>
      </w:r>
      <w:r>
        <w:rPr>
          <w:rFonts w:ascii="Times New Roman" w:hAnsi="Times New Roman"/>
          <w:b w:val="false"/>
          <w:i w:val="false"/>
          <w:color w:val="000000"/>
          <w:sz w:val="22"/>
        </w:rPr>
        <w:t xml:space="preserve"> shall be construed to allow a ceding company to maintain any deficiency under paragraph 112.7(1)</w:t>
      </w:r>
      <w:r>
        <w:rPr>
          <w:rFonts w:ascii="Times New Roman" w:hAnsi="Times New Roman"/>
          <w:b w:val="false"/>
          <w:i/>
          <w:color w:val="000000"/>
          <w:sz w:val="22"/>
        </w:rPr>
        <w:t>“c”</w:t>
      </w:r>
      <w:r>
        <w:rPr>
          <w:rFonts w:ascii="Times New Roman" w:hAnsi="Times New Roman"/>
          <w:b w:val="false"/>
          <w:i w:val="false"/>
          <w:color w:val="000000"/>
          <w:sz w:val="22"/>
        </w:rPr>
        <w:t xml:space="preserve"> or 112.7(1)</w:t>
      </w:r>
      <w:r>
        <w:rPr>
          <w:rFonts w:ascii="Times New Roman" w:hAnsi="Times New Roman"/>
          <w:b w:val="false"/>
          <w:i/>
          <w:color w:val="000000"/>
          <w:sz w:val="22"/>
        </w:rPr>
        <w:t>“d”</w:t>
      </w:r>
      <w:r>
        <w:rPr>
          <w:rFonts w:ascii="Times New Roman" w:hAnsi="Times New Roman"/>
          <w:b w:val="false"/>
          <w:i w:val="false"/>
          <w:color w:val="000000"/>
          <w:sz w:val="22"/>
        </w:rPr>
        <w:t xml:space="preserve"> for any period of time longer than is reasonably necessary to eliminate the deficiency.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5514C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191—112.8</w:t>
      </w:r>
      <w:r>
        <w:rPr>
          <w:rFonts w:ascii="Times New Roman" w:hAnsi="Times New Roman"/>
          <w:b/>
          <w:i w:val="false"/>
          <w:color w:val="000000"/>
          <w:sz w:val="22"/>
        </w:rPr>
        <w:t xml:space="preserve">(521B)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this chapter shall be held invalid, the remainder of the chapter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191—112.9</w:t>
      </w:r>
      <w:r>
        <w:rPr>
          <w:rFonts w:ascii="Times New Roman" w:hAnsi="Times New Roman"/>
          <w:b/>
          <w:i w:val="false"/>
          <w:color w:val="000000"/>
          <w:sz w:val="22"/>
        </w:rPr>
        <w:t xml:space="preserve">(521B) </w:t>
      </w:r>
      <w:r>
        <w:rPr>
          <w:rFonts w:ascii="Times New Roman" w:hAnsi="Times New Roman"/>
          <w:b/>
          <w:i w:val="false"/>
          <w:color w:val="000000"/>
          <w:sz w:val="22"/>
        </w:rPr>
        <w:t xml:space="preserve">Prohibition against avoidance. </w:t>
      </w:r>
      <w:r>
        <w:rPr>
          <w:rFonts w:ascii="Times New Roman" w:hAnsi="Times New Roman"/>
          <w:b w:val="false"/>
          <w:i w:val="false"/>
          <w:color w:val="000000"/>
          <w:sz w:val="22"/>
        </w:rPr>
        <w:t>No insurer that has covered policies as to which this chapter applies, as set forth in rule 191—112.3(521B), shall take any action or series of actions, or enter into any transaction or arrangement or series of transactions or arrangements, if the purpose of such action, transaction or arrangement or series thereof is to avoid the requirements of this chapter, or to circumvent its purpose and intent, as set forth in rule 191—112.2(521B).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521B.102</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521B.103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521B.105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3496C</w:t>
      </w:r>
      <w:r>
        <w:rPr>
          <w:rFonts w:ascii="Times New Roman" w:hAnsi="Times New Roman"/>
          <w:b w:val="false"/>
          <w:i w:val="false"/>
          <w:color w:val="000000"/>
          <w:sz w:val="21"/>
        </w:rPr>
        <w:t xml:space="preserve"> (Notice ARC 3362C,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5514C</w:t>
      </w:r>
      <w:r>
        <w:rPr>
          <w:rFonts w:ascii="Times New Roman" w:hAnsi="Times New Roman"/>
          <w:b w:val="false"/>
          <w:i w:val="false"/>
          <w:color w:val="000000"/>
          <w:sz w:val="21"/>
        </w:rPr>
        <w:t xml:space="preserve"> (Notice ARC 5388C,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1B.102.pdf" Type="http://schemas.openxmlformats.org/officeDocument/2006/relationships/hyperlink" Id="rId5"/>
    <Relationship TargetMode="External" Target="https://www.legis.iowa.gov/docs/ico/chapter/521B.103.pdf" Type="http://schemas.openxmlformats.org/officeDocument/2006/relationships/hyperlink" Id="rId6"/>
    <Relationship TargetMode="External" Target="https://www.legis.iowa.gov/docs/ico/chapter/521B.105.pdf" Type="http://schemas.openxmlformats.org/officeDocument/2006/relationships/hyperlink" Id="rId7"/>
    <Relationship TargetMode="External" Target="https://www.legis.iowa.gov/docs/ico/chapter/521B.102.pdf" Type="http://schemas.openxmlformats.org/officeDocument/2006/relationships/hyperlink" Id="rId8"/>
    <Relationship TargetMode="External" Target="https://www.legis.iowa.gov/docs/ico/chapter/521B.102.pdf" Type="http://schemas.openxmlformats.org/officeDocument/2006/relationships/hyperlink" Id="rId9"/>
    <Relationship TargetMode="External" Target="https://www.legis.iowa.gov/docs/ico/chapter/521E.1.pdf" Type="http://schemas.openxmlformats.org/officeDocument/2006/relationships/hyperlink" Id="rId10"/>
    <Relationship TargetMode="External" Target="https://www.legis.iowa.gov/docs/ico/chapter/521B.102.pdf" Type="http://schemas.openxmlformats.org/officeDocument/2006/relationships/hyperlink" Id="rId11"/>
    <Relationship TargetMode="External" Target="https://www.legis.iowa.gov/docs/ico/chapter/521A.1.pdf" Type="http://schemas.openxmlformats.org/officeDocument/2006/relationships/hyperlink" Id="rId12"/>
    <Relationship TargetMode="External" Target="https://www.legis.iowa.gov/docs/ico/chapter/521E.1.pdf" Type="http://schemas.openxmlformats.org/officeDocument/2006/relationships/hyperlink" Id="rId13"/>
    <Relationship TargetMode="External" Target="https://www.legis.iowa.gov/docs/ico/chapter/521B.102.pdf" Type="http://schemas.openxmlformats.org/officeDocument/2006/relationships/hyperlink" Id="rId14"/>
    <Relationship TargetMode="External" Target="https://www.legis.iowa.gov/docs/ico/chapter/521B.103.pdf" Type="http://schemas.openxmlformats.org/officeDocument/2006/relationships/hyperlink" Id="rId15"/>
    <Relationship TargetMode="External" Target="https://www.legis.iowa.gov/docs/ico/chapter/521B.103.pdf" Type="http://schemas.openxmlformats.org/officeDocument/2006/relationships/hyperlink" Id="rId16"/>
    <Relationship TargetMode="External" Target="https://www.legis.iowa.gov/docs/ico/chapter/508.36.pdf" Type="http://schemas.openxmlformats.org/officeDocument/2006/relationships/hyperlink" Id="rId17"/>
    <Relationship TargetMode="External" Target="https://www.legis.iowa.gov/docs/ico/chapter/521B.102.pdf" Type="http://schemas.openxmlformats.org/officeDocument/2006/relationships/hyperlink" Id="rId18"/>
    <Relationship TargetMode="External" Target="https://www.legis.iowa.gov/docs/ico/chapter/521B.103.pdf" Type="http://schemas.openxmlformats.org/officeDocument/2006/relationships/hyperlink" Id="rId19"/>
    <Relationship TargetMode="External" Target="https://www.legis.iowa.gov/docs/ico/chapter/521B.102.pdf" Type="http://schemas.openxmlformats.org/officeDocument/2006/relationships/hyperlink" Id="rId20"/>
    <Relationship TargetMode="External" Target="https://www.legis.iowa.gov/docs/ico/chapter/521B.103.pdf" Type="http://schemas.openxmlformats.org/officeDocument/2006/relationships/hyperlink" Id="rId21"/>
    <Relationship TargetMode="External" Target="https://www.legis.iowa.gov/docs/ico/chapter/508.36.pdf" Type="http://schemas.openxmlformats.org/officeDocument/2006/relationships/hyperlink" Id="rId22"/>
    <Relationship TargetMode="External" Target="https://www.legis.iowa.gov/docs/ico/chapter/521B.103.pdf" Type="http://schemas.openxmlformats.org/officeDocument/2006/relationships/hyperlink" Id="rId23"/>
    <Relationship TargetMode="External" Target="https://www.legis.iowa.gov/docs/ico/chapter/521B.103.pdf" Type="http://schemas.openxmlformats.org/officeDocument/2006/relationships/hyperlink" Id="rId24"/>
    <Relationship TargetMode="External" Target="https://www.legis.iowa.gov/docs/iac/rule/191.112.7.pdf" Type="http://schemas.openxmlformats.org/officeDocument/2006/relationships/hyperlink" Id="rId25"/>
    <Relationship TargetMode="External" Target="https://www.legis.iowa.gov/docs/iac/rule/191.5.33.pdf" Type="http://schemas.openxmlformats.org/officeDocument/2006/relationships/hyperlink" Id="rId26"/>
    <Relationship TargetMode="External" Target="https://www.legis.iowa.gov/docs/iac/rule/191.112.6.pdf" Type="http://schemas.openxmlformats.org/officeDocument/2006/relationships/hyperlink" Id="rId27"/>
    <Relationship TargetMode="External" Target="https://www.legis.iowa.gov/docs/iac/rule/191.112.6.pdf" Type="http://schemas.openxmlformats.org/officeDocument/2006/relationships/hyperlink" Id="rId28"/>
    <Relationship TargetMode="External" Target="https://www.legis.iowa.gov/docs/iac/rule/191.112.7.pdf" Type="http://schemas.openxmlformats.org/officeDocument/2006/relationships/hyperlink" Id="rId29"/>
    <Relationship TargetMode="External" Target="https://www.legis.iowa.gov/docs/iac/rule/191.112.7.pdf" Type="http://schemas.openxmlformats.org/officeDocument/2006/relationships/hyperlink" Id="rId30"/>
    <Relationship TargetMode="External" Target="https://www.legis.iowa.gov/docs/iac/rule/191.112.7.pdf" Type="http://schemas.openxmlformats.org/officeDocument/2006/relationships/hyperlink" Id="rId31"/>
    <Relationship TargetMode="External" Target="https://www.legis.iowa.gov/docs/iac/rule/191.5.33.pdf" Type="http://schemas.openxmlformats.org/officeDocument/2006/relationships/hyperlink" Id="rId32"/>
    <Relationship TargetMode="External" Target="https://www.legis.iowa.gov/docs/iac/rule/191.5.33.pdf" Type="http://schemas.openxmlformats.org/officeDocument/2006/relationships/hyperlink" Id="rId33"/>
    <Relationship TargetMode="External" Target="https://www.legis.iowa.gov/docs/iac/rule/191.112.6.pdf" Type="http://schemas.openxmlformats.org/officeDocument/2006/relationships/hyperlink" Id="rId34"/>
    <Relationship TargetMode="External" Target="https://www.legis.iowa.gov/docs/ico/chapter/521B.102.pdf" Type="http://schemas.openxmlformats.org/officeDocument/2006/relationships/hyperlink" Id="rId35"/>
    <Relationship TargetMode="External" Target="https://www.legis.iowa.gov/docs/ico/chapter/521B.103.pdf" Type="http://schemas.openxmlformats.org/officeDocument/2006/relationships/hyperlink" Id="rId36"/>
    <Relationship TargetMode="External" Target="https://www.legis.iowa.gov/docs/ico/chapter/521B.105.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