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102</w:t>
      </w:r>
    </w:p>
    <w:p>
      <w:pPr>
        <w:spacing w:before="0" w:after="0"/>
        <w:ind w:left="120"/>
        <w:jc w:val="center"/>
      </w:pPr>
      <w:r>
        <w:rPr>
          <w:rFonts w:ascii="Times New Roman" w:hAnsi="Times New Roman"/>
          <w:b w:val="false"/>
          <w:i w:val="false"/>
          <w:color w:val="000000"/>
          <w:sz w:val="21"/>
        </w:rPr>
        <w:t>IOWA RETIREMENT FACILITIES</w:t>
      </w:r>
    </w:p>
    <w:p>
      <w:pPr>
        <w:spacing w:before="0" w:after="0"/>
        <w:ind w:left="120"/>
        <w:jc w:val="center"/>
      </w:pPr>
      <w:r>
        <w:rPr>
          <w:rFonts w:ascii="Times New Roman" w:hAnsi="Times New Roman"/>
          <w:b w:val="false"/>
          <w:i w:val="false"/>
          <w:color w:val="000000"/>
          <w:sz w:val="14"/>
        </w:rPr>
        <w:t>[Prior to 11/23/16, see 191—Chapter 24]</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191—102.1</w:t>
      </w:r>
      <w:r>
        <w:rPr>
          <w:rFonts w:ascii="Times New Roman" w:hAnsi="Times New Roman"/>
          <w:b/>
          <w:i w:val="false"/>
          <w:color w:val="000000"/>
          <w:sz w:val="22"/>
        </w:rPr>
        <w:t xml:space="preserve">(523D) </w:t>
      </w:r>
      <w:r>
        <w:rPr>
          <w:rFonts w:ascii="Times New Roman" w:hAnsi="Times New Roman"/>
          <w:b/>
          <w:i w:val="false"/>
          <w:color w:val="000000"/>
          <w:sz w:val="22"/>
        </w:rPr>
        <w:t xml:space="preserve">Purpose and applicability. </w:t>
      </w:r>
      <w:r>
        <w:rPr>
          <w:rFonts w:ascii="Times New Roman" w:hAnsi="Times New Roman"/>
          <w:b w:val="false"/>
          <w:i w:val="false"/>
          <w:color w:val="000000"/>
          <w:sz w:val="22"/>
        </w:rPr>
        <w:t xml:space="preserve">This chapter is promulgated to implement and administer Iowa Code chapter </w:t>
      </w:r>
      <w:hyperlink r:id="rId5">
        <w:r>
          <w:rPr>
            <w:rStyle w:val="Hyperlink"/>
            <w:rFonts w:ascii="Times New Roman" w:hAnsi="Times New Roman"/>
            <w:b w:val="false"/>
            <w:i w:val="false"/>
            <w:color w:val="000000"/>
            <w:sz w:val="22"/>
          </w:rPr>
          <w:t>523D</w:t>
        </w:r>
      </w:hyperlink>
      <w:r>
        <w:rPr>
          <w:rFonts w:ascii="Times New Roman" w:hAnsi="Times New Roman"/>
          <w:b w:val="false"/>
          <w:i w:val="false"/>
          <w:color w:val="000000"/>
          <w:sz w:val="22"/>
        </w:rPr>
        <w:t xml:space="preserve">, which regulates senior adult congregate living facilities and continuing care retirement communities. This chapter applies to entities of the same kind and in the same manner as set forth in Iowa Code section </w:t>
      </w:r>
      <w:hyperlink r:id="rId6">
        <w:r>
          <w:rPr>
            <w:rStyle w:val="Hyperlink"/>
            <w:rFonts w:ascii="Times New Roman" w:hAnsi="Times New Roman"/>
            <w:b w:val="false"/>
            <w:i w:val="false"/>
            <w:color w:val="000000"/>
            <w:sz w:val="22"/>
          </w:rPr>
          <w:t>523D.2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2826C</w:t>
      </w:r>
      <w:r>
        <w:rPr>
          <w:rFonts w:ascii="Times New Roman" w:hAnsi="Times New Roman"/>
          <w:b w:val="false"/>
          <w:i w:val="false"/>
          <w:color w:val="000000"/>
          <w:sz w:val="16"/>
        </w:rPr>
        <w:t>, IAB 11/23/16, effective 12/28/16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191—102.2</w:t>
      </w:r>
      <w:r>
        <w:rPr>
          <w:rFonts w:ascii="Times New Roman" w:hAnsi="Times New Roman"/>
          <w:b/>
          <w:i w:val="false"/>
          <w:color w:val="000000"/>
          <w:sz w:val="22"/>
        </w:rPr>
        <w:t xml:space="preserve">(523D)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102.2(1)</w:t>
      </w:r>
      <w:r>
        <w:rPr>
          <w:rFonts w:ascii="Times New Roman" w:hAnsi="Times New Roman"/>
          <w:b w:val="false"/>
          <w:i w:val="false"/>
          <w:color w:val="000000"/>
          <w:sz w:val="22"/>
        </w:rPr>
        <w:t> </w:t>
      </w:r>
      <w:r>
        <w:rPr>
          <w:rFonts w:ascii="Times New Roman" w:hAnsi="Times New Roman"/>
          <w:b w:val="false"/>
          <w:i/>
          <w:color w:val="000000"/>
          <w:sz w:val="22"/>
        </w:rPr>
        <w:t xml:space="preserve">Definitions of terms found in Iowa Code chapter </w:t>
      </w:r>
      <w:hyperlink r:id="rId7">
        <w:r>
          <w:rPr>
            <w:rStyle w:val="Hyperlink"/>
            <w:rFonts w:ascii="Times New Roman" w:hAnsi="Times New Roman"/>
            <w:b w:val="false"/>
            <w:i/>
            <w:color w:val="000000"/>
            <w:sz w:val="22"/>
          </w:rPr>
          <w:t>523D</w:t>
        </w:r>
      </w:hyperlink>
      <w:r>
        <w:rPr>
          <w:rFonts w:ascii="Times New Roman" w:hAnsi="Times New Roman"/>
          <w:b w:val="false"/>
          <w:i/>
          <w:color w:val="000000"/>
          <w:sz w:val="22"/>
        </w:rPr>
        <w:t xml:space="preserve"> and this chapter. </w:t>
      </w:r>
      <w:r>
        <w:rPr>
          <w:rFonts w:ascii="Times New Roman" w:hAnsi="Times New Roman"/>
          <w:b w:val="false"/>
          <w:i w:val="false"/>
          <w:color w:val="000000"/>
          <w:sz w:val="22"/>
        </w:rPr>
        <w:t xml:space="preserve">The definitions in Iowa Code chapter </w:t>
      </w:r>
      <w:hyperlink r:id="rId8">
        <w:r>
          <w:rPr>
            <w:rStyle w:val="Hyperlink"/>
            <w:rFonts w:ascii="Times New Roman" w:hAnsi="Times New Roman"/>
            <w:b w:val="false"/>
            <w:i w:val="false"/>
            <w:color w:val="000000"/>
            <w:sz w:val="22"/>
          </w:rPr>
          <w:t>523D</w:t>
        </w:r>
      </w:hyperlink>
      <w:r>
        <w:rPr>
          <w:rFonts w:ascii="Times New Roman" w:hAnsi="Times New Roman"/>
          <w:b w:val="false"/>
          <w:i w:val="false"/>
          <w:color w:val="000000"/>
          <w:sz w:val="22"/>
        </w:rPr>
        <w:t xml:space="preserve"> are incorporated by this reference. In addition, the following definition shall apply to this chapter and shall provide clarification and additional context to Iowa Code chapter </w:t>
      </w:r>
      <w:hyperlink r:id="rId9">
        <w:r>
          <w:rPr>
            <w:rStyle w:val="Hyperlink"/>
            <w:rFonts w:ascii="Times New Roman" w:hAnsi="Times New Roman"/>
            <w:b w:val="false"/>
            <w:i w:val="false"/>
            <w:color w:val="000000"/>
            <w:sz w:val="22"/>
          </w:rPr>
          <w:t>523D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financial statements,” </w:t>
      </w:r>
      <w:r>
        <w:rPr>
          <w:rFonts w:ascii="Times New Roman" w:hAnsi="Times New Roman"/>
          <w:b w:val="false"/>
          <w:i w:val="false"/>
          <w:color w:val="000000"/>
          <w:sz w:val="22"/>
        </w:rPr>
        <w:t xml:space="preserve">as used in this chapter and in Iowa Code section </w:t>
      </w:r>
      <w:hyperlink r:id="rId10">
        <w:r>
          <w:rPr>
            <w:rStyle w:val="Hyperlink"/>
            <w:rFonts w:ascii="Times New Roman" w:hAnsi="Times New Roman"/>
            <w:b w:val="false"/>
            <w:i w:val="false"/>
            <w:color w:val="000000"/>
            <w:sz w:val="22"/>
          </w:rPr>
          <w:t>523D.3(1)</w:t>
        </w:r>
      </w:hyperlink>
      <w:r>
        <w:rPr>
          <w:rFonts w:ascii="Times New Roman" w:hAnsi="Times New Roman"/>
          <w:b w:val="false"/>
          <w:i/>
          <w:color w:val="000000"/>
          <w:sz w:val="22"/>
        </w:rPr>
        <w:t>“i,”</w:t>
      </w:r>
      <w:r>
        <w:rPr>
          <w:rFonts w:ascii="Times New Roman" w:hAnsi="Times New Roman"/>
          <w:b w:val="false"/>
          <w:i w:val="false"/>
          <w:color w:val="000000"/>
          <w:sz w:val="22"/>
        </w:rPr>
        <w:t xml:space="preserve"> means financial statements audited and certified by a certified public accountant in accordance with generally accepted auditing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102.2(2)</w:t>
      </w:r>
      <w:r>
        <w:rPr>
          <w:rFonts w:ascii="Times New Roman" w:hAnsi="Times New Roman"/>
          <w:b w:val="false"/>
          <w:i w:val="false"/>
          <w:color w:val="000000"/>
          <w:sz w:val="22"/>
        </w:rPr>
        <w:t> </w:t>
      </w:r>
      <w:r>
        <w:rPr>
          <w:rFonts w:ascii="Times New Roman" w:hAnsi="Times New Roman"/>
          <w:b w:val="false"/>
          <w:i/>
          <w:color w:val="000000"/>
          <w:sz w:val="22"/>
        </w:rPr>
        <w:t xml:space="preserve">Definitions of terms used in Iowa Code chapter </w:t>
      </w:r>
      <w:hyperlink r:id="rId11">
        <w:r>
          <w:rPr>
            <w:rStyle w:val="Hyperlink"/>
            <w:rFonts w:ascii="Times New Roman" w:hAnsi="Times New Roman"/>
            <w:b w:val="false"/>
            <w:i/>
            <w:color w:val="000000"/>
            <w:sz w:val="22"/>
          </w:rPr>
          <w:t>523D</w:t>
        </w:r>
      </w:hyperlink>
      <w:r>
        <w:rPr>
          <w:rFonts w:ascii="Times New Roman" w:hAnsi="Times New Roman"/>
          <w:b w:val="false"/>
          <w:i/>
          <w:color w:val="000000"/>
          <w:sz w:val="22"/>
        </w:rPr>
        <w:t xml:space="preserve">. </w:t>
      </w:r>
      <w:r>
        <w:rPr>
          <w:rFonts w:ascii="Times New Roman" w:hAnsi="Times New Roman"/>
          <w:b w:val="false"/>
          <w:i w:val="false"/>
          <w:color w:val="000000"/>
          <w:sz w:val="22"/>
        </w:rPr>
        <w:t xml:space="preserve">The following terms, which are used in Iowa Code chapter </w:t>
      </w:r>
      <w:hyperlink r:id="rId12">
        <w:r>
          <w:rPr>
            <w:rStyle w:val="Hyperlink"/>
            <w:rFonts w:ascii="Times New Roman" w:hAnsi="Times New Roman"/>
            <w:b w:val="false"/>
            <w:i w:val="false"/>
            <w:color w:val="000000"/>
            <w:sz w:val="22"/>
          </w:rPr>
          <w:t>523D</w:t>
        </w:r>
      </w:hyperlink>
      <w:r>
        <w:rPr>
          <w:rFonts w:ascii="Times New Roman" w:hAnsi="Times New Roman"/>
          <w:b w:val="false"/>
          <w:i w:val="false"/>
          <w:color w:val="000000"/>
          <w:sz w:val="22"/>
        </w:rPr>
        <w:t>, are defined here to provide clarification and additional context.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“Actuarial forecast,” </w:t>
      </w:r>
      <w:r>
        <w:rPr>
          <w:rFonts w:ascii="Times New Roman" w:hAnsi="Times New Roman"/>
          <w:b w:val="false"/>
          <w:i w:val="false"/>
          <w:color w:val="000000"/>
          <w:sz w:val="22"/>
        </w:rPr>
        <w:t xml:space="preserve">as used in Iowa Code section </w:t>
      </w:r>
      <w:hyperlink r:id="rId13">
        <w:r>
          <w:rPr>
            <w:rStyle w:val="Hyperlink"/>
            <w:rFonts w:ascii="Times New Roman" w:hAnsi="Times New Roman"/>
            <w:b w:val="false"/>
            <w:i w:val="false"/>
            <w:color w:val="000000"/>
            <w:sz w:val="22"/>
          </w:rPr>
          <w:t>523D.5(1)</w:t>
        </w:r>
      </w:hyperlink>
      <w:r>
        <w:rPr>
          <w:rFonts w:ascii="Times New Roman" w:hAnsi="Times New Roman"/>
          <w:b w:val="false"/>
          <w:i/>
          <w:color w:val="000000"/>
          <w:sz w:val="22"/>
        </w:rPr>
        <w:t>“f,”</w:t>
      </w:r>
      <w:r>
        <w:rPr>
          <w:rFonts w:ascii="Times New Roman" w:hAnsi="Times New Roman"/>
          <w:b w:val="false"/>
          <w:i w:val="false"/>
          <w:color w:val="000000"/>
          <w:sz w:val="22"/>
        </w:rPr>
        <w:t xml:space="preserve"> means an analysis which is performed by a qualified actuary or an individual who has demonstrated to the satisfaction of the commissioner the necessary experience and educational background. Such analysis shall be in accordance with generally accepted actuarial principles and practices and shall include a statement of actuarial opinion, an actuarial balance sheet, a cash flow projection, and a statement of applicable actuarial methodology, formulas, and assumptions. “Qualified actuary” means an individual who is a member of the American Academy of Actuaries.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“Financial institution,” </w:t>
      </w:r>
      <w:r>
        <w:rPr>
          <w:rFonts w:ascii="Times New Roman" w:hAnsi="Times New Roman"/>
          <w:b w:val="false"/>
          <w:i w:val="false"/>
          <w:color w:val="000000"/>
          <w:sz w:val="22"/>
        </w:rPr>
        <w:t xml:space="preserve">as used in Iowa Code section </w:t>
      </w:r>
      <w:hyperlink r:id="rId14">
        <w:r>
          <w:rPr>
            <w:rStyle w:val="Hyperlink"/>
            <w:rFonts w:ascii="Times New Roman" w:hAnsi="Times New Roman"/>
            <w:b w:val="false"/>
            <w:i w:val="false"/>
            <w:color w:val="000000"/>
            <w:sz w:val="22"/>
          </w:rPr>
          <w:t>523D.5(4)</w:t>
        </w:r>
      </w:hyperlink>
      <w:r>
        <w:rPr>
          <w:rFonts w:ascii="Times New Roman" w:hAnsi="Times New Roman"/>
          <w:b w:val="false"/>
          <w:i w:val="false"/>
          <w:color w:val="000000"/>
          <w:sz w:val="22"/>
        </w:rPr>
        <w:t>, means: a state or federally insured bank, savings bank, savings and loan association, or credit union; or a trust company authorized to do business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“Statement of financial feasibility,” </w:t>
      </w:r>
      <w:r>
        <w:rPr>
          <w:rFonts w:ascii="Times New Roman" w:hAnsi="Times New Roman"/>
          <w:b w:val="false"/>
          <w:i w:val="false"/>
          <w:color w:val="000000"/>
          <w:sz w:val="22"/>
        </w:rPr>
        <w:t xml:space="preserve">as used in Iowa Code section </w:t>
      </w:r>
      <w:hyperlink r:id="rId15">
        <w:r>
          <w:rPr>
            <w:rStyle w:val="Hyperlink"/>
            <w:rFonts w:ascii="Times New Roman" w:hAnsi="Times New Roman"/>
            <w:b w:val="false"/>
            <w:i w:val="false"/>
            <w:color w:val="000000"/>
            <w:sz w:val="22"/>
          </w:rPr>
          <w:t>523D.5(1)</w:t>
        </w:r>
      </w:hyperlink>
      <w:r>
        <w:rPr>
          <w:rFonts w:ascii="Times New Roman" w:hAnsi="Times New Roman"/>
          <w:b w:val="false"/>
          <w:i/>
          <w:color w:val="000000"/>
          <w:sz w:val="22"/>
        </w:rPr>
        <w:t>“d,”</w:t>
      </w:r>
      <w:r>
        <w:rPr>
          <w:rFonts w:ascii="Times New Roman" w:hAnsi="Times New Roman"/>
          <w:b w:val="false"/>
          <w:i w:val="false"/>
          <w:color w:val="000000"/>
          <w:sz w:val="22"/>
        </w:rPr>
        <w:t xml:space="preserve"> means a financial forecast, as defined by the American Institute of Certified Public Accountants (AICPA), of the revenues, expenses, working capital needs, and other financial requirements for the new or expanded facility or an alternative financial study in a form acceptable to the insurance division. The forecast period should include the development or expansion period and extend for five fiscal years from the date of initial occupancy. Unless waived by the commissioner, the statement of financial feasibility shall include a cash flow forecast with underlying assumptions and be presented in accordance with AICPA guidelines. The financial analysis shall be prepared by either a qualified actuary, a certified public accountant, or an individual who has demonstrated to the satisfaction of the commissioner the necessary experience and educational background. “Qualified actuary” means an individual who is a member of the American Academy of Actuaries. “Certified public accountant” means a person who is licensed as a certified public accountant under Iowa Code chapter </w:t>
      </w:r>
      <w:hyperlink r:id="rId16">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or under the laws of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“Statement of the market feasibility” </w:t>
      </w:r>
      <w:r>
        <w:rPr>
          <w:rFonts w:ascii="Times New Roman" w:hAnsi="Times New Roman"/>
          <w:b w:val="false"/>
          <w:i w:val="false"/>
          <w:color w:val="000000"/>
          <w:sz w:val="22"/>
        </w:rPr>
        <w:t xml:space="preserve">as used in Iowa Code section </w:t>
      </w:r>
      <w:hyperlink r:id="rId17">
        <w:r>
          <w:rPr>
            <w:rStyle w:val="Hyperlink"/>
            <w:rFonts w:ascii="Times New Roman" w:hAnsi="Times New Roman"/>
            <w:b w:val="false"/>
            <w:i w:val="false"/>
            <w:color w:val="000000"/>
            <w:sz w:val="22"/>
          </w:rPr>
          <w:t>523D.5(1)</w:t>
        </w:r>
      </w:hyperlink>
      <w:r>
        <w:rPr>
          <w:rFonts w:ascii="Times New Roman" w:hAnsi="Times New Roman"/>
          <w:b w:val="false"/>
          <w:i/>
          <w:color w:val="000000"/>
          <w:sz w:val="22"/>
        </w:rPr>
        <w:t>“e,”</w:t>
      </w:r>
      <w:r>
        <w:rPr>
          <w:rFonts w:ascii="Times New Roman" w:hAnsi="Times New Roman"/>
          <w:b w:val="false"/>
          <w:i w:val="false"/>
          <w:color w:val="000000"/>
          <w:sz w:val="22"/>
        </w:rPr>
        <w:t xml:space="preserve"> means an analysis of the market conditions which:</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Identifies and evaluates the potential market, including a demographic and economic profile of the population in the facility’s market area;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Identifies the existing or proposed facilities or similar businesses offering similar services in the potential market area, including, if available, the occupancy rate for existing facilities for the last three years;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Identifies the name and address of the person who prepared the feasibility study and the experience of the person in preparing similar studies or otherwise consulting in the field of continuing care or related health care fields.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2826C</w:t>
      </w:r>
      <w:r>
        <w:rPr>
          <w:rFonts w:ascii="Times New Roman" w:hAnsi="Times New Roman"/>
          <w:b w:val="false"/>
          <w:i w:val="false"/>
          <w:color w:val="000000"/>
          <w:sz w:val="16"/>
        </w:rPr>
        <w:t>, IAB 11/23/16, effective 12/28/16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191—102.3</w:t>
      </w:r>
      <w:r>
        <w:rPr>
          <w:rFonts w:ascii="Times New Roman" w:hAnsi="Times New Roman"/>
          <w:b/>
          <w:i w:val="false"/>
          <w:color w:val="000000"/>
          <w:sz w:val="22"/>
        </w:rPr>
        <w:t xml:space="preserve">(523D) </w:t>
      </w:r>
      <w:r>
        <w:rPr>
          <w:rFonts w:ascii="Times New Roman" w:hAnsi="Times New Roman"/>
          <w:b/>
          <w:i w:val="false"/>
          <w:color w:val="000000"/>
          <w:sz w:val="22"/>
        </w:rPr>
        <w:t xml:space="preserve">Forms and filings.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102.3(1)</w:t>
      </w:r>
      <w:r>
        <w:rPr>
          <w:rFonts w:ascii="Times New Roman" w:hAnsi="Times New Roman"/>
          <w:b w:val="false"/>
          <w:i w:val="false"/>
          <w:color w:val="000000"/>
          <w:sz w:val="22"/>
        </w:rPr>
        <w:t> </w:t>
      </w:r>
      <w:r>
        <w:rPr>
          <w:rFonts w:ascii="Times New Roman" w:hAnsi="Times New Roman"/>
          <w:b w:val="false"/>
          <w:i w:val="false"/>
          <w:color w:val="000000"/>
          <w:sz w:val="22"/>
        </w:rPr>
        <w:t xml:space="preserve">Copies of all required forms and instructions are available on the division’s website, </w:t>
      </w:r>
      <w:hyperlink r:id="rId18">
        <w:r>
          <w:rPr>
            <w:rStyle w:val="Hyperlink"/>
            <w:rFonts w:ascii="Times New Roman" w:hAnsi="Times New Roman"/>
            <w:b w:val="false"/>
            <w:i w:val="false"/>
            <w:color w:val="000000"/>
            <w:sz w:val="22"/>
            <w:u w:val="single"/>
          </w:rPr>
          <w:t>www.iid.iowa.gov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102.3(2)</w:t>
      </w:r>
      <w:r>
        <w:rPr>
          <w:rFonts w:ascii="Times New Roman" w:hAnsi="Times New Roman"/>
          <w:b w:val="false"/>
          <w:i w:val="false"/>
          <w:color w:val="000000"/>
          <w:sz w:val="22"/>
        </w:rPr>
        <w:t> </w:t>
      </w:r>
      <w:r>
        <w:rPr>
          <w:rFonts w:ascii="Times New Roman" w:hAnsi="Times New Roman"/>
          <w:b w:val="false"/>
          <w:i w:val="false"/>
          <w:color w:val="000000"/>
          <w:sz w:val="22"/>
        </w:rPr>
        <w:t xml:space="preserve">All filings, fees and payments shall be made as directed by the commissioner. Instructions are available at the division’s website, </w:t>
      </w:r>
      <w:hyperlink r:id="rId19">
        <w:r>
          <w:rPr>
            <w:rStyle w:val="Hyperlink"/>
            <w:rFonts w:ascii="Times New Roman" w:hAnsi="Times New Roman"/>
            <w:b w:val="false"/>
            <w:i w:val="false"/>
            <w:color w:val="000000"/>
            <w:sz w:val="22"/>
            <w:u w:val="single"/>
          </w:rPr>
          <w:t>www.iid.iowa.gov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2826C</w:t>
      </w:r>
      <w:r>
        <w:rPr>
          <w:rFonts w:ascii="Times New Roman" w:hAnsi="Times New Roman"/>
          <w:b w:val="false"/>
          <w:i w:val="false"/>
          <w:color w:val="000000"/>
          <w:sz w:val="16"/>
        </w:rPr>
        <w:t>, IAB 11/23/16, effective 12/28/16</w:t>
      </w:r>
      <w:r>
        <w:rPr>
          <w:rFonts w:ascii="Times New Roman" w:hAnsi="Times New Roman"/>
          <w:b w:val="false"/>
          <w:i w:val="false"/>
          <w:color w:val="000000"/>
          <w:sz w:val="16"/>
        </w:rPr>
        <w:t xml:space="preserve">; </w:t>
      </w:r>
      <w:r>
        <w:rPr>
          <w:rFonts w:ascii="Times New Roman" w:hAnsi="Times New Roman"/>
          <w:b/>
          <w:i w:val="false"/>
          <w:color w:val="000000"/>
          <w:sz w:val="16"/>
        </w:rPr>
        <w:t>ARC 6547C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191—102.4</w:t>
      </w:r>
      <w:r>
        <w:rPr>
          <w:rFonts w:ascii="Times New Roman" w:hAnsi="Times New Roman"/>
          <w:b/>
          <w:i w:val="false"/>
          <w:color w:val="000000"/>
          <w:sz w:val="22"/>
        </w:rPr>
        <w:t xml:space="preserve">(523D) </w:t>
      </w:r>
      <w:r>
        <w:rPr>
          <w:rFonts w:ascii="Times New Roman" w:hAnsi="Times New Roman"/>
          <w:b/>
          <w:i w:val="false"/>
          <w:color w:val="000000"/>
          <w:sz w:val="22"/>
        </w:rPr>
        <w:t xml:space="preserve">Standards for the disclosure statement.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102.4(1)</w:t>
      </w:r>
      <w:r>
        <w:rPr>
          <w:rFonts w:ascii="Times New Roman" w:hAnsi="Times New Roman"/>
          <w:b w:val="false"/>
          <w:i w:val="false"/>
          <w:color w:val="000000"/>
          <w:sz w:val="22"/>
        </w:rPr>
        <w:t> </w:t>
      </w:r>
      <w:r>
        <w:rPr>
          <w:rFonts w:ascii="Times New Roman" w:hAnsi="Times New Roman"/>
          <w:b w:val="false"/>
          <w:i/>
          <w:color w:val="000000"/>
          <w:sz w:val="22"/>
        </w:rPr>
        <w:t xml:space="preserve">Readability. </w:t>
      </w:r>
      <w:r>
        <w:rPr>
          <w:rFonts w:ascii="Times New Roman" w:hAnsi="Times New Roman"/>
          <w:b w:val="false"/>
          <w:i w:val="false"/>
          <w:color w:val="000000"/>
          <w:sz w:val="22"/>
        </w:rPr>
        <w:t xml:space="preserve">Documents required by Iowa Code sections </w:t>
      </w:r>
      <w:hyperlink r:id="rId20">
        <w:r>
          <w:rPr>
            <w:rStyle w:val="Hyperlink"/>
            <w:rFonts w:ascii="Times New Roman" w:hAnsi="Times New Roman"/>
            <w:b w:val="false"/>
            <w:i w:val="false"/>
            <w:color w:val="000000"/>
            <w:sz w:val="22"/>
          </w:rPr>
          <w:t>523D.3</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523D.5</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523D.6</w:t>
        </w:r>
      </w:hyperlink>
      <w:r>
        <w:rPr>
          <w:rFonts w:ascii="Times New Roman" w:hAnsi="Times New Roman"/>
          <w:b w:val="false"/>
          <w:i w:val="false"/>
          <w:color w:val="000000"/>
          <w:sz w:val="22"/>
        </w:rPr>
        <w:t xml:space="preserve"> to be given to residents, prospective residents, and personal representatives, including disclosure statements and residents’ contracts, shall be drafted in accordance with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language used shall be readable by a person of average intelligence and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information presented should be conveyed in a logical sequence and in a clear and direct fashion.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Complex and compound sentences should be avoided.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Words should convey their commonly understood meanings.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Definitions shall be included for words or terms which cannot properly be explained or qualified in the text.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Frequent section headings should be used to permit ease in locating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Documents shall be printed in a typeface and a point size easily legible to the audience to whom the literature is directed. An upright typeface with at least 10-point type should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102.4(2)</w:t>
      </w:r>
      <w:r>
        <w:rPr>
          <w:rFonts w:ascii="Times New Roman" w:hAnsi="Times New Roman"/>
          <w:b w:val="false"/>
          <w:i w:val="false"/>
          <w:color w:val="000000"/>
          <w:sz w:val="22"/>
        </w:rPr>
        <w:t> </w:t>
      </w:r>
      <w:r>
        <w:rPr>
          <w:rFonts w:ascii="Times New Roman" w:hAnsi="Times New Roman"/>
          <w:b w:val="false"/>
          <w:i/>
          <w:color w:val="000000"/>
          <w:sz w:val="22"/>
        </w:rPr>
        <w:t xml:space="preserve">Form. </w:t>
      </w:r>
      <w:r>
        <w:rPr>
          <w:rFonts w:ascii="Times New Roman" w:hAnsi="Times New Roman"/>
          <w:b w:val="false"/>
          <w:i w:val="false"/>
          <w:color w:val="000000"/>
          <w:sz w:val="22"/>
        </w:rPr>
        <w:t>Documents shall be typed or printed on paper measuring 8½ by 11 inches. The disclosure statement shall be bound or otherwise securely fastened.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102.4(3)</w:t>
      </w:r>
      <w:r>
        <w:rPr>
          <w:rFonts w:ascii="Times New Roman" w:hAnsi="Times New Roman"/>
          <w:b w:val="false"/>
          <w:i w:val="false"/>
          <w:color w:val="000000"/>
          <w:sz w:val="22"/>
        </w:rPr>
        <w:t> </w:t>
      </w:r>
      <w:r>
        <w:rPr>
          <w:rFonts w:ascii="Times New Roman" w:hAnsi="Times New Roman"/>
          <w:b w:val="false"/>
          <w:i/>
          <w:color w:val="000000"/>
          <w:sz w:val="22"/>
        </w:rPr>
        <w:t xml:space="preserve">Cover page. </w:t>
      </w:r>
      <w:r>
        <w:rPr>
          <w:rFonts w:ascii="Times New Roman" w:hAnsi="Times New Roman"/>
          <w:b w:val="false"/>
          <w:i w:val="false"/>
          <w:color w:val="000000"/>
          <w:sz w:val="22"/>
        </w:rPr>
        <w:t xml:space="preserve">The cover page of the disclosure statement shall state, in a prominent location and in boldface type, “Disclosure Statement,” the date of the disclosure statement, and that the delivery of the disclosure statement to a contracting party before the execution of a contract for the provision of supportive services or continuing care is required by Iowa Code chapter </w:t>
      </w:r>
      <w:hyperlink r:id="rId23">
        <w:r>
          <w:rPr>
            <w:rStyle w:val="Hyperlink"/>
            <w:rFonts w:ascii="Times New Roman" w:hAnsi="Times New Roman"/>
            <w:b w:val="false"/>
            <w:i w:val="false"/>
            <w:color w:val="000000"/>
            <w:sz w:val="22"/>
          </w:rPr>
          <w:t>523D</w:t>
        </w:r>
      </w:hyperlink>
      <w:r>
        <w:rPr>
          <w:rFonts w:ascii="Times New Roman" w:hAnsi="Times New Roman"/>
          <w:b w:val="false"/>
          <w:i w:val="false"/>
          <w:color w:val="000000"/>
          <w:sz w:val="22"/>
        </w:rPr>
        <w:t>, but that the disclosure statement has not been approved by any government agency or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102.4(4)</w:t>
      </w:r>
      <w:r>
        <w:rPr>
          <w:rFonts w:ascii="Times New Roman" w:hAnsi="Times New Roman"/>
          <w:b w:val="false"/>
          <w:i w:val="false"/>
          <w:color w:val="000000"/>
          <w:sz w:val="22"/>
        </w:rPr>
        <w:t> </w:t>
      </w:r>
      <w:r>
        <w:rPr>
          <w:rFonts w:ascii="Times New Roman" w:hAnsi="Times New Roman"/>
          <w:b w:val="false"/>
          <w:i/>
          <w:color w:val="000000"/>
          <w:sz w:val="22"/>
        </w:rPr>
        <w:t xml:space="preserve">Table of contents. </w:t>
      </w:r>
      <w:r>
        <w:rPr>
          <w:rFonts w:ascii="Times New Roman" w:hAnsi="Times New Roman"/>
          <w:b w:val="false"/>
          <w:i w:val="false"/>
          <w:color w:val="000000"/>
          <w:sz w:val="22"/>
        </w:rPr>
        <w:t>Multipaged documents shall contain a table of contents giving a comprehensive listing of all section headings used in the document. If the table of contents does not appear at the beginning of the document, the location of the table of contents shall be noted on the first page.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102.4(5)</w:t>
      </w:r>
      <w:r>
        <w:rPr>
          <w:rFonts w:ascii="Times New Roman" w:hAnsi="Times New Roman"/>
          <w:b w:val="false"/>
          <w:i w:val="false"/>
          <w:color w:val="000000"/>
          <w:sz w:val="22"/>
        </w:rPr>
        <w:t> </w:t>
      </w:r>
      <w:r>
        <w:rPr>
          <w:rFonts w:ascii="Times New Roman" w:hAnsi="Times New Roman"/>
          <w:b w:val="false"/>
          <w:i/>
          <w:color w:val="000000"/>
          <w:sz w:val="22"/>
        </w:rPr>
        <w:t xml:space="preserve">Acknowledgment. </w:t>
      </w:r>
      <w:r>
        <w:rPr>
          <w:rFonts w:ascii="Times New Roman" w:hAnsi="Times New Roman"/>
          <w:b w:val="false"/>
          <w:i w:val="false"/>
          <w:color w:val="000000"/>
          <w:sz w:val="22"/>
        </w:rPr>
        <w:t>The last page of the disclosure statement shall consist of a detachable “acknowledgment of receipt” which shall be signed and dated by the resident. A copy of the acknowledgment shall be kept on file in the office of the provider for at least one year from the date of the acknowledgment.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102.4(6)</w:t>
      </w:r>
      <w:r>
        <w:rPr>
          <w:rFonts w:ascii="Times New Roman" w:hAnsi="Times New Roman"/>
          <w:b w:val="false"/>
          <w:i w:val="false"/>
          <w:color w:val="000000"/>
          <w:sz w:val="22"/>
        </w:rPr>
        <w:t> </w:t>
      </w:r>
      <w:r>
        <w:rPr>
          <w:rFonts w:ascii="Times New Roman" w:hAnsi="Times New Roman"/>
          <w:b w:val="false"/>
          <w:i/>
          <w:color w:val="000000"/>
          <w:sz w:val="22"/>
        </w:rPr>
        <w:t xml:space="preserve">Advertising. </w:t>
      </w:r>
      <w:r>
        <w:rPr>
          <w:rFonts w:ascii="Times New Roman" w:hAnsi="Times New Roman"/>
          <w:b w:val="false"/>
          <w:i w:val="false"/>
          <w:color w:val="000000"/>
          <w:sz w:val="22"/>
        </w:rPr>
        <w:t>The disclosure statement shall contain no sales or advertising materials. Sales or advertising materials may be attached to the disclosure statement or packaged with the disclosure statement if the manner of attachment or packaging does not obfuscate the cover page of the disclosure statement.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2826C</w:t>
      </w:r>
      <w:r>
        <w:rPr>
          <w:rFonts w:ascii="Times New Roman" w:hAnsi="Times New Roman"/>
          <w:b w:val="false"/>
          <w:i w:val="false"/>
          <w:color w:val="000000"/>
          <w:sz w:val="16"/>
        </w:rPr>
        <w:t>, IAB 11/23/16, effective 12/28/16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191—102.5</w:t>
      </w:r>
      <w:r>
        <w:rPr>
          <w:rFonts w:ascii="Times New Roman" w:hAnsi="Times New Roman"/>
          <w:b/>
          <w:i w:val="false"/>
          <w:color w:val="000000"/>
          <w:sz w:val="22"/>
        </w:rPr>
        <w:t xml:space="preserve">(523D) </w:t>
      </w:r>
      <w:r>
        <w:rPr>
          <w:rFonts w:ascii="Times New Roman" w:hAnsi="Times New Roman"/>
          <w:b/>
          <w:i w:val="false"/>
          <w:color w:val="000000"/>
          <w:sz w:val="22"/>
        </w:rPr>
        <w:t xml:space="preserve">Certified financial statements, studies, and forecasts.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102.5(1)</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Certified financial statements, as required by Iowa Code section </w:t>
      </w:r>
      <w:hyperlink r:id="rId24">
        <w:r>
          <w:rPr>
            <w:rStyle w:val="Hyperlink"/>
            <w:rFonts w:ascii="Times New Roman" w:hAnsi="Times New Roman"/>
            <w:b w:val="false"/>
            <w:i w:val="false"/>
            <w:color w:val="000000"/>
            <w:sz w:val="22"/>
          </w:rPr>
          <w:t>523D.3(1)</w:t>
        </w:r>
      </w:hyperlink>
      <w:r>
        <w:rPr>
          <w:rFonts w:ascii="Times New Roman" w:hAnsi="Times New Roman"/>
          <w:b w:val="false"/>
          <w:i/>
          <w:color w:val="000000"/>
          <w:sz w:val="22"/>
        </w:rPr>
        <w:t>“i,”</w:t>
      </w:r>
      <w:r>
        <w:rPr>
          <w:rFonts w:ascii="Times New Roman" w:hAnsi="Times New Roman"/>
          <w:b w:val="false"/>
          <w:i w:val="false"/>
          <w:color w:val="000000"/>
          <w:sz w:val="22"/>
        </w:rPr>
        <w:t xml:space="preserve"> shall be prepared in accordance with generally accepted accounting principles (GAAP).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102.5(2)</w:t>
      </w:r>
      <w:r>
        <w:rPr>
          <w:rFonts w:ascii="Times New Roman" w:hAnsi="Times New Roman"/>
          <w:b w:val="false"/>
          <w:i w:val="false"/>
          <w:color w:val="000000"/>
          <w:sz w:val="22"/>
        </w:rPr>
        <w:t> </w:t>
      </w:r>
      <w:r>
        <w:rPr>
          <w:rFonts w:ascii="Times New Roman" w:hAnsi="Times New Roman"/>
          <w:b w:val="false"/>
          <w:i w:val="false"/>
          <w:color w:val="000000"/>
          <w:sz w:val="22"/>
        </w:rPr>
        <w:t>Certified financial statements shall be presented in a format that allows financial analysis of the contracting party undertaking to provide the continuing care. The contracting party may consist of an individual facility or numerous operating units. In some cases, where the financial condition and financial obligations of affiliated legal entities are relevant to the financial condition of the contracting party, preparation on a consolidated basis may be necessary. Certified financial statements shall provide sufficient financial disclosure to the continuing care resident to enable the resident to make an informed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102.5(3)</w:t>
      </w:r>
      <w:r>
        <w:rPr>
          <w:rFonts w:ascii="Times New Roman" w:hAnsi="Times New Roman"/>
          <w:b w:val="false"/>
          <w:i w:val="false"/>
          <w:color w:val="000000"/>
          <w:sz w:val="22"/>
        </w:rPr>
        <w:t> </w:t>
      </w:r>
      <w:r>
        <w:rPr>
          <w:rFonts w:ascii="Times New Roman" w:hAnsi="Times New Roman"/>
          <w:b w:val="false"/>
          <w:i w:val="false"/>
          <w:color w:val="000000"/>
          <w:sz w:val="22"/>
        </w:rPr>
        <w:t>Studies or forecasts must disclose the basic assumptions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102.5(4)</w:t>
      </w:r>
      <w:r>
        <w:rPr>
          <w:rFonts w:ascii="Times New Roman" w:hAnsi="Times New Roman"/>
          <w:b w:val="false"/>
          <w:i w:val="false"/>
          <w:color w:val="000000"/>
          <w:sz w:val="22"/>
        </w:rPr>
        <w:t> </w:t>
      </w:r>
      <w:r>
        <w:rPr>
          <w:rFonts w:ascii="Times New Roman" w:hAnsi="Times New Roman"/>
          <w:b w:val="false"/>
          <w:i w:val="false"/>
          <w:color w:val="000000"/>
          <w:sz w:val="22"/>
        </w:rPr>
        <w:t>The following certified financial statements must be filed with the annual disclosure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income statement or a statement of revenues and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of changes in equity or changes in fund balances;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balance sheet;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statement of cash flow.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2826C</w:t>
      </w:r>
      <w:r>
        <w:rPr>
          <w:rFonts w:ascii="Times New Roman" w:hAnsi="Times New Roman"/>
          <w:b w:val="false"/>
          <w:i w:val="false"/>
          <w:color w:val="000000"/>
          <w:sz w:val="16"/>
        </w:rPr>
        <w:t>, IAB 11/23/16, effective 12/28/16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191—102.6</w:t>
      </w:r>
      <w:r>
        <w:rPr>
          <w:rFonts w:ascii="Times New Roman" w:hAnsi="Times New Roman"/>
          <w:b/>
          <w:i w:val="false"/>
          <w:color w:val="000000"/>
          <w:sz w:val="22"/>
        </w:rPr>
        <w:t xml:space="preserve">(523D) </w:t>
      </w:r>
      <w:r>
        <w:rPr>
          <w:rFonts w:ascii="Times New Roman" w:hAnsi="Times New Roman"/>
          <w:b/>
          <w:i w:val="false"/>
          <w:color w:val="000000"/>
          <w:sz w:val="22"/>
        </w:rPr>
        <w:t xml:space="preserve">Amendments to the disclosure statement. </w:t>
      </w:r>
      <w:r>
        <w:rPr>
          <w:rFonts w:ascii="Times New Roman" w:hAnsi="Times New Roman"/>
          <w:b w:val="false"/>
          <w:i w:val="false"/>
          <w:color w:val="000000"/>
          <w:sz w:val="22"/>
        </w:rPr>
        <w:t>Changes in the operations of a provider or licensed facility which shall require an amendment to a disclosure statement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102.6(1)</w:t>
      </w:r>
      <w:r>
        <w:rPr>
          <w:rFonts w:ascii="Times New Roman" w:hAnsi="Times New Roman"/>
          <w:b w:val="false"/>
          <w:i w:val="false"/>
          <w:color w:val="000000"/>
          <w:sz w:val="22"/>
        </w:rPr>
        <w:t> </w:t>
      </w:r>
      <w:r>
        <w:rPr>
          <w:rFonts w:ascii="Times New Roman" w:hAnsi="Times New Roman"/>
          <w:b w:val="false"/>
          <w:i w:val="false"/>
          <w:color w:val="000000"/>
          <w:sz w:val="22"/>
        </w:rPr>
        <w:t>New or additional mortgages, security interests, loan commitments, long-term financing arrangements, or leases that materially affect the real property of the licensed facility unless the material terms of such transactions were specifically described as proposed transactions in the disclosure 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102.6(2)</w:t>
      </w:r>
      <w:r>
        <w:rPr>
          <w:rFonts w:ascii="Times New Roman" w:hAnsi="Times New Roman"/>
          <w:b w:val="false"/>
          <w:i w:val="false"/>
          <w:color w:val="000000"/>
          <w:sz w:val="22"/>
        </w:rPr>
        <w:t> </w:t>
      </w:r>
      <w:r>
        <w:rPr>
          <w:rFonts w:ascii="Times New Roman" w:hAnsi="Times New Roman"/>
          <w:b w:val="false"/>
          <w:i w:val="false"/>
          <w:color w:val="000000"/>
          <w:sz w:val="22"/>
        </w:rPr>
        <w:t>The sale of the licensed facility to a new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102.6(3)</w:t>
      </w:r>
      <w:r>
        <w:rPr>
          <w:rFonts w:ascii="Times New Roman" w:hAnsi="Times New Roman"/>
          <w:b w:val="false"/>
          <w:i w:val="false"/>
          <w:color w:val="000000"/>
          <w:sz w:val="22"/>
        </w:rPr>
        <w:t> </w:t>
      </w:r>
      <w:r>
        <w:rPr>
          <w:rFonts w:ascii="Times New Roman" w:hAnsi="Times New Roman"/>
          <w:b w:val="false"/>
          <w:i w:val="false"/>
          <w:color w:val="000000"/>
          <w:sz w:val="22"/>
        </w:rPr>
        <w:t>Changes in the provider’s tax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102.6(4)</w:t>
      </w:r>
      <w:r>
        <w:rPr>
          <w:rFonts w:ascii="Times New Roman" w:hAnsi="Times New Roman"/>
          <w:b w:val="false"/>
          <w:i w:val="false"/>
          <w:color w:val="000000"/>
          <w:sz w:val="22"/>
        </w:rPr>
        <w:t> </w:t>
      </w:r>
      <w:r>
        <w:rPr>
          <w:rFonts w:ascii="Times New Roman" w:hAnsi="Times New Roman"/>
          <w:b w:val="false"/>
          <w:i w:val="false"/>
          <w:color w:val="000000"/>
          <w:sz w:val="22"/>
        </w:rPr>
        <w:t>A material change in the form of the resident contract.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2826C</w:t>
      </w:r>
      <w:r>
        <w:rPr>
          <w:rFonts w:ascii="Times New Roman" w:hAnsi="Times New Roman"/>
          <w:b w:val="false"/>
          <w:i w:val="false"/>
          <w:color w:val="000000"/>
          <w:sz w:val="16"/>
        </w:rPr>
        <w:t>, IAB 11/23/16, effective 12/28/16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191—102.7</w:t>
      </w:r>
      <w:r>
        <w:rPr>
          <w:rFonts w:ascii="Times New Roman" w:hAnsi="Times New Roman"/>
          <w:b/>
          <w:i w:val="false"/>
          <w:color w:val="000000"/>
          <w:sz w:val="22"/>
        </w:rPr>
        <w:t xml:space="preserve">(523D) </w:t>
      </w:r>
      <w:r>
        <w:rPr>
          <w:rFonts w:ascii="Times New Roman" w:hAnsi="Times New Roman"/>
          <w:b/>
          <w:i w:val="false"/>
          <w:color w:val="000000"/>
          <w:sz w:val="22"/>
        </w:rPr>
        <w:t xml:space="preserve">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102.7(1)</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licensed facility or provider shall keep accurate accounts, books and records concerning transactions regulated under Iowa Code chapter </w:t>
      </w:r>
      <w:hyperlink r:id="rId25">
        <w:r>
          <w:rPr>
            <w:rStyle w:val="Hyperlink"/>
            <w:rFonts w:ascii="Times New Roman" w:hAnsi="Times New Roman"/>
            <w:b w:val="false"/>
            <w:i w:val="false"/>
            <w:color w:val="000000"/>
            <w:sz w:val="22"/>
          </w:rPr>
          <w:t>523D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102.7(2)</w:t>
      </w:r>
      <w:r>
        <w:rPr>
          <w:rFonts w:ascii="Times New Roman" w:hAnsi="Times New Roman"/>
          <w:b w:val="false"/>
          <w:i w:val="false"/>
          <w:color w:val="000000"/>
          <w:sz w:val="22"/>
        </w:rPr>
        <w:t> </w:t>
      </w:r>
      <w:r>
        <w:rPr>
          <w:rFonts w:ascii="Times New Roman" w:hAnsi="Times New Roman"/>
          <w:b w:val="false"/>
          <w:i w:val="false"/>
          <w:color w:val="000000"/>
          <w:sz w:val="22"/>
        </w:rPr>
        <w:t>A licensed facility’s or provider’s accounts, books and records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Copies of all contracts;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each resident, prospective resident, or current or past contract 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Copies of disclosure statements, any amendments thereto, and any supporting documentation for the information included in the disclosure statements and annual disclosure statements pursuant to Iowa Code section </w:t>
      </w:r>
      <w:hyperlink r:id="rId26">
        <w:r>
          <w:rPr>
            <w:rStyle w:val="Hyperlink"/>
            <w:rFonts w:ascii="Times New Roman" w:hAnsi="Times New Roman"/>
            <w:b w:val="false"/>
            <w:i w:val="false"/>
            <w:color w:val="000000"/>
            <w:sz w:val="22"/>
          </w:rPr>
          <w:t>523D.3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Copies of documents related to new construction as required by Iowa Code section </w:t>
      </w:r>
      <w:hyperlink r:id="rId27">
        <w:r>
          <w:rPr>
            <w:rStyle w:val="Hyperlink"/>
            <w:rFonts w:ascii="Times New Roman" w:hAnsi="Times New Roman"/>
            <w:b w:val="false"/>
            <w:i w:val="false"/>
            <w:color w:val="000000"/>
            <w:sz w:val="22"/>
          </w:rPr>
          <w:t>523D.5</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dates and amounts of all receipts and expenditures.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102.7(3)</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licensed facility or provider shall retain all required accounts, books and records pertaining to each resident or prospective resident contract for at least two years after the expiration of the specified period of time in the contract or for five years if required by Iowa Code section </w:t>
      </w:r>
      <w:hyperlink r:id="rId28">
        <w:r>
          <w:rPr>
            <w:rStyle w:val="Hyperlink"/>
            <w:rFonts w:ascii="Times New Roman" w:hAnsi="Times New Roman"/>
            <w:b w:val="false"/>
            <w:i w:val="false"/>
            <w:color w:val="000000"/>
            <w:sz w:val="22"/>
          </w:rPr>
          <w:t>523D.3(3)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102.7(4)</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licensed facility or provider shall make all accounts, books and records concerning transactions regulated under Iowa Code chapter </w:t>
      </w:r>
      <w:hyperlink r:id="rId29">
        <w:r>
          <w:rPr>
            <w:rStyle w:val="Hyperlink"/>
            <w:rFonts w:ascii="Times New Roman" w:hAnsi="Times New Roman"/>
            <w:b w:val="false"/>
            <w:i w:val="false"/>
            <w:color w:val="000000"/>
            <w:sz w:val="22"/>
          </w:rPr>
          <w:t>523D</w:t>
        </w:r>
      </w:hyperlink>
      <w:r>
        <w:rPr>
          <w:rFonts w:ascii="Times New Roman" w:hAnsi="Times New Roman"/>
          <w:b w:val="false"/>
          <w:i w:val="false"/>
          <w:color w:val="000000"/>
          <w:sz w:val="22"/>
        </w:rPr>
        <w:t xml:space="preserve"> available to the commissioner for the purpose of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102.7(5)</w:t>
      </w:r>
      <w:r>
        <w:rPr>
          <w:rFonts w:ascii="Times New Roman" w:hAnsi="Times New Roman"/>
          <w:b w:val="false"/>
          <w:i w:val="false"/>
          <w:color w:val="000000"/>
          <w:sz w:val="22"/>
        </w:rPr>
        <w:t> </w:t>
      </w:r>
      <w:r>
        <w:rPr>
          <w:rFonts w:ascii="Times New Roman" w:hAnsi="Times New Roman"/>
          <w:b w:val="false"/>
          <w:i w:val="false"/>
          <w:color w:val="000000"/>
          <w:sz w:val="22"/>
        </w:rPr>
        <w:t>A licensed facility or provider discontinuing business in this state shall maintain its records until it furnishes the commissioner with proof satisfactory to the commissioner that the licensed facility or provider has discharged all obligations to contract holders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2826C</w:t>
      </w:r>
      <w:r>
        <w:rPr>
          <w:rFonts w:ascii="Times New Roman" w:hAnsi="Times New Roman"/>
          <w:b w:val="false"/>
          <w:i w:val="false"/>
          <w:color w:val="000000"/>
          <w:sz w:val="16"/>
        </w:rPr>
        <w:t>, IAB 11/23/16, effective 12/28/16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191—102.8</w:t>
      </w:r>
      <w:r>
        <w:rPr>
          <w:rFonts w:ascii="Times New Roman" w:hAnsi="Times New Roman"/>
          <w:b/>
          <w:i w:val="false"/>
          <w:color w:val="000000"/>
          <w:sz w:val="22"/>
        </w:rPr>
        <w:t xml:space="preserve">(523D) </w:t>
      </w:r>
      <w:r>
        <w:rPr>
          <w:rFonts w:ascii="Times New Roman" w:hAnsi="Times New Roman"/>
          <w:b/>
          <w:i w:val="false"/>
          <w:color w:val="000000"/>
          <w:sz w:val="22"/>
        </w:rPr>
        <w:t xml:space="preserve">Misrepresentations. </w:t>
      </w:r>
      <w:r>
        <w:rPr>
          <w:rFonts w:ascii="Times New Roman" w:hAnsi="Times New Roman"/>
          <w:b w:val="false"/>
          <w:i w:val="false"/>
          <w:color w:val="000000"/>
          <w:sz w:val="22"/>
        </w:rPr>
        <w:t xml:space="preserve">A licensed facility or provider shall not represent or imply in any manner that the licensed facility or provider has been sponsored, recommended, or approved or that the licensed facility’s or provider’s abilities or qualifications have in any respect been passed upon by the commissioner, the Iowa insurance division, or the state of Iowa. Nonetheless, if the statements are factually correct, a licensed facility or provider may state that the licensed facility or provider has filed with the Iowa insurance division an annual certification in accordance with Iowa Code section </w:t>
      </w:r>
      <w:hyperlink r:id="rId30">
        <w:r>
          <w:rPr>
            <w:rStyle w:val="Hyperlink"/>
            <w:rFonts w:ascii="Times New Roman" w:hAnsi="Times New Roman"/>
            <w:b w:val="false"/>
            <w:i w:val="false"/>
            <w:color w:val="000000"/>
            <w:sz w:val="22"/>
          </w:rPr>
          <w:t>523D.2A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2826C</w:t>
      </w:r>
      <w:r>
        <w:rPr>
          <w:rFonts w:ascii="Times New Roman" w:hAnsi="Times New Roman"/>
          <w:b w:val="false"/>
          <w:i w:val="false"/>
          <w:color w:val="000000"/>
          <w:sz w:val="16"/>
        </w:rPr>
        <w:t>, IAB 11/23/16, effective 12/28/16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191—102.9</w:t>
      </w:r>
      <w:r>
        <w:rPr>
          <w:rFonts w:ascii="Times New Roman" w:hAnsi="Times New Roman"/>
          <w:b/>
          <w:i w:val="false"/>
          <w:color w:val="000000"/>
          <w:sz w:val="22"/>
        </w:rPr>
        <w:t xml:space="preserve">(523D) </w:t>
      </w:r>
      <w:r>
        <w:rPr>
          <w:rFonts w:ascii="Times New Roman" w:hAnsi="Times New Roman"/>
          <w:b/>
          <w:i w:val="false"/>
          <w:color w:val="000000"/>
          <w:sz w:val="22"/>
        </w:rPr>
        <w:t xml:space="preserve">Violations. </w:t>
      </w:r>
      <w:r>
        <w:rPr>
          <w:rFonts w:ascii="Times New Roman" w:hAnsi="Times New Roman"/>
          <w:b w:val="false"/>
          <w:i w:val="false"/>
          <w:color w:val="000000"/>
          <w:sz w:val="22"/>
        </w:rPr>
        <w:t xml:space="preserve">Failure to comply with this chapter or with Iowa Code chapter </w:t>
      </w:r>
      <w:hyperlink r:id="rId31">
        <w:r>
          <w:rPr>
            <w:rStyle w:val="Hyperlink"/>
            <w:rFonts w:ascii="Times New Roman" w:hAnsi="Times New Roman"/>
            <w:b w:val="false"/>
            <w:i w:val="false"/>
            <w:color w:val="000000"/>
            <w:sz w:val="22"/>
          </w:rPr>
          <w:t>523D</w:t>
        </w:r>
      </w:hyperlink>
      <w:r>
        <w:rPr>
          <w:rFonts w:ascii="Times New Roman" w:hAnsi="Times New Roman"/>
          <w:b w:val="false"/>
          <w:i w:val="false"/>
          <w:color w:val="000000"/>
          <w:sz w:val="22"/>
        </w:rPr>
        <w:t xml:space="preserve"> shall be deemed a violation which shall subject a person or entity to the procedures and penalties set forth in Iowa Code chapter </w:t>
      </w:r>
      <w:hyperlink r:id="rId32">
        <w:r>
          <w:rPr>
            <w:rStyle w:val="Hyperlink"/>
            <w:rFonts w:ascii="Times New Roman" w:hAnsi="Times New Roman"/>
            <w:b w:val="false"/>
            <w:i w:val="false"/>
            <w:color w:val="000000"/>
            <w:sz w:val="22"/>
          </w:rPr>
          <w:t>523D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2826C</w:t>
      </w:r>
      <w:r>
        <w:rPr>
          <w:rFonts w:ascii="Times New Roman" w:hAnsi="Times New Roman"/>
          <w:b w:val="false"/>
          <w:i w:val="false"/>
          <w:color w:val="000000"/>
          <w:sz w:val="16"/>
        </w:rPr>
        <w:t>, IAB 11/23/16, effective 12/28/16</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33">
        <w:r>
          <w:rPr>
            <w:rStyle w:val="Hyperlink"/>
            <w:rFonts w:ascii="Times New Roman" w:hAnsi="Times New Roman"/>
            <w:b w:val="false"/>
            <w:i w:val="false"/>
            <w:color w:val="000000"/>
            <w:sz w:val="22"/>
          </w:rPr>
          <w:t>523D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2826C</w:t>
      </w:r>
      <w:r>
        <w:rPr>
          <w:rFonts w:ascii="Times New Roman" w:hAnsi="Times New Roman"/>
          <w:b w:val="false"/>
          <w:i w:val="false"/>
          <w:color w:val="000000"/>
          <w:sz w:val="21"/>
        </w:rPr>
        <w:t xml:space="preserve"> (Notice ARC 2724C, IAB 9/28/16)</w:t>
      </w:r>
      <w:r>
        <w:rPr>
          <w:rFonts w:ascii="Times New Roman" w:hAnsi="Times New Roman"/>
          <w:b w:val="false"/>
          <w:i w:val="false"/>
          <w:color w:val="000000"/>
          <w:sz w:val="21"/>
        </w:rPr>
        <w:t>, IAB 11/23/16, effective 12/28/16]</w:t>
      </w:r>
    </w:p>
    <w:p>
      <w:pPr>
        <w:spacing w:before="0" w:after="0"/>
        <w:ind w:left="120"/>
        <w:jc w:val="center"/>
      </w:pPr>
      <w:r>
        <w:rPr>
          <w:rFonts w:ascii="Times New Roman" w:hAnsi="Times New Roman"/>
          <w:b w:val="false"/>
          <w:i w:val="false"/>
          <w:color w:val="000000"/>
          <w:sz w:val="21"/>
        </w:rPr>
        <w:t>[Filed ARC 6547C</w:t>
      </w:r>
      <w:r>
        <w:rPr>
          <w:rFonts w:ascii="Times New Roman" w:hAnsi="Times New Roman"/>
          <w:b w:val="false"/>
          <w:i w:val="false"/>
          <w:color w:val="000000"/>
          <w:sz w:val="21"/>
        </w:rPr>
        <w:t xml:space="preserve"> (Notice ARC 6408C, IAB 7/13/22)</w:t>
      </w:r>
      <w:r>
        <w:rPr>
          <w:rFonts w:ascii="Times New Roman" w:hAnsi="Times New Roman"/>
          <w:b w:val="false"/>
          <w:i w:val="false"/>
          <w:color w:val="000000"/>
          <w:sz w:val="21"/>
        </w:rPr>
        <w:t>, IAB 10/5/22, effective 11/9/22]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23D.pdf" Type="http://schemas.openxmlformats.org/officeDocument/2006/relationships/hyperlink" Id="rId5"/>
    <Relationship TargetMode="External" Target="https://www.legis.iowa.gov/docs/ico/chapter/523D.2.pdf" Type="http://schemas.openxmlformats.org/officeDocument/2006/relationships/hyperlink" Id="rId6"/>
    <Relationship TargetMode="External" Target="https://www.legis.iowa.gov/docs/ico/chapter/523D.pdf" Type="http://schemas.openxmlformats.org/officeDocument/2006/relationships/hyperlink" Id="rId7"/>
    <Relationship TargetMode="External" Target="https://www.legis.iowa.gov/docs/ico/chapter/523D.pdf" Type="http://schemas.openxmlformats.org/officeDocument/2006/relationships/hyperlink" Id="rId8"/>
    <Relationship TargetMode="External" Target="https://www.legis.iowa.gov/docs/ico/chapter/523D.pdf" Type="http://schemas.openxmlformats.org/officeDocument/2006/relationships/hyperlink" Id="rId9"/>
    <Relationship TargetMode="External" Target="https://www.legis.iowa.gov/docs/ico/chapter/523D.3.pdf" Type="http://schemas.openxmlformats.org/officeDocument/2006/relationships/hyperlink" Id="rId10"/>
    <Relationship TargetMode="External" Target="https://www.legis.iowa.gov/docs/ico/chapter/523D.pdf" Type="http://schemas.openxmlformats.org/officeDocument/2006/relationships/hyperlink" Id="rId11"/>
    <Relationship TargetMode="External" Target="https://www.legis.iowa.gov/docs/ico/chapter/523D.pdf" Type="http://schemas.openxmlformats.org/officeDocument/2006/relationships/hyperlink" Id="rId12"/>
    <Relationship TargetMode="External" Target="https://www.legis.iowa.gov/docs/ico/chapter/523D.5.pdf" Type="http://schemas.openxmlformats.org/officeDocument/2006/relationships/hyperlink" Id="rId13"/>
    <Relationship TargetMode="External" Target="https://www.legis.iowa.gov/docs/ico/chapter/523D.5.pdf" Type="http://schemas.openxmlformats.org/officeDocument/2006/relationships/hyperlink" Id="rId14"/>
    <Relationship TargetMode="External" Target="https://www.legis.iowa.gov/docs/ico/chapter/523D.5.pdf" Type="http://schemas.openxmlformats.org/officeDocument/2006/relationships/hyperlink" Id="rId15"/>
    <Relationship TargetMode="External" Target="https://www.legis.iowa.gov/docs/ico/chapter/542.pdf" Type="http://schemas.openxmlformats.org/officeDocument/2006/relationships/hyperlink" Id="rId16"/>
    <Relationship TargetMode="External" Target="https://www.legis.iowa.gov/docs/ico/chapter/523D.5.pdf" Type="http://schemas.openxmlformats.org/officeDocument/2006/relationships/hyperlink" Id="rId17"/>
    <Relationship TargetMode="External" Target="http://www.iid.iowa.gov" Type="http://schemas.openxmlformats.org/officeDocument/2006/relationships/hyperlink" Id="rId18"/>
    <Relationship TargetMode="External" Target="http://www.iid.iowa.gov" Type="http://schemas.openxmlformats.org/officeDocument/2006/relationships/hyperlink" Id="rId19"/>
    <Relationship TargetMode="External" Target="https://www.legis.iowa.gov/docs/ico/chapter/523D.3.pdf" Type="http://schemas.openxmlformats.org/officeDocument/2006/relationships/hyperlink" Id="rId20"/>
    <Relationship TargetMode="External" Target="https://www.legis.iowa.gov/docs/ico/chapter/523D.5.pdf" Type="http://schemas.openxmlformats.org/officeDocument/2006/relationships/hyperlink" Id="rId21"/>
    <Relationship TargetMode="External" Target="https://www.legis.iowa.gov/docs/ico/chapter/523D.6.pdf" Type="http://schemas.openxmlformats.org/officeDocument/2006/relationships/hyperlink" Id="rId22"/>
    <Relationship TargetMode="External" Target="https://www.legis.iowa.gov/docs/ico/chapter/523D.pdf" Type="http://schemas.openxmlformats.org/officeDocument/2006/relationships/hyperlink" Id="rId23"/>
    <Relationship TargetMode="External" Target="https://www.legis.iowa.gov/docs/ico/chapter/523D.3.pdf" Type="http://schemas.openxmlformats.org/officeDocument/2006/relationships/hyperlink" Id="rId24"/>
    <Relationship TargetMode="External" Target="https://www.legis.iowa.gov/docs/ico/chapter/523D.pdf" Type="http://schemas.openxmlformats.org/officeDocument/2006/relationships/hyperlink" Id="rId25"/>
    <Relationship TargetMode="External" Target="https://www.legis.iowa.gov/docs/ico/chapter/523D.3.pdf" Type="http://schemas.openxmlformats.org/officeDocument/2006/relationships/hyperlink" Id="rId26"/>
    <Relationship TargetMode="External" Target="https://www.legis.iowa.gov/docs/ico/chapter/523D.5.pdf" Type="http://schemas.openxmlformats.org/officeDocument/2006/relationships/hyperlink" Id="rId27"/>
    <Relationship TargetMode="External" Target="https://www.legis.iowa.gov/docs/ico/chapter/523D.3.pdf" Type="http://schemas.openxmlformats.org/officeDocument/2006/relationships/hyperlink" Id="rId28"/>
    <Relationship TargetMode="External" Target="https://www.legis.iowa.gov/docs/ico/chapter/523D.pdf" Type="http://schemas.openxmlformats.org/officeDocument/2006/relationships/hyperlink" Id="rId29"/>
    <Relationship TargetMode="External" Target="https://www.legis.iowa.gov/docs/ico/chapter/523D.2A.pdf" Type="http://schemas.openxmlformats.org/officeDocument/2006/relationships/hyperlink" Id="rId30"/>
    <Relationship TargetMode="External" Target="https://www.legis.iowa.gov/docs/ico/chapter/523D.pdf" Type="http://schemas.openxmlformats.org/officeDocument/2006/relationships/hyperlink" Id="rId31"/>
    <Relationship TargetMode="External" Target="https://www.legis.iowa.gov/docs/ico/chapter/523D.pdf" Type="http://schemas.openxmlformats.org/officeDocument/2006/relationships/hyperlink" Id="rId32"/>
    <Relationship TargetMode="External" Target="https://www.legis.iowa.gov/docs/ico/chapter/523D.pdf" Type="http://schemas.openxmlformats.org/officeDocument/2006/relationships/hyperlink" Id="rId3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