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ORGANIZATION AND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w:t>
      </w:r>
      <w:r>
        <w:rPr>
          <w:rFonts w:ascii="Times New Roman" w:hAnsi="Times New Roman"/>
          <w:b/>
          <w:i w:val="false"/>
          <w:color w:val="000000"/>
          <w:sz w:val="22"/>
        </w:rPr>
        <w:t xml:space="preserve">(502,505)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of the insurance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“Division’s website” </w:t>
      </w:r>
      <w:r>
        <w:rPr>
          <w:rFonts w:ascii="Times New Roman" w:hAnsi="Times New Roman"/>
          <w:b w:val="false"/>
          <w:i w:val="false"/>
          <w:color w:val="000000"/>
          <w:sz w:val="22"/>
        </w:rPr>
        <w:t xml:space="preserve">means the information and related content found at </w:t>
      </w:r>
      <w:hyperlink r:id="rId5">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191—1.2</w:t>
      </w:r>
      <w:r>
        <w:rPr>
          <w:rFonts w:ascii="Times New Roman" w:hAnsi="Times New Roman"/>
          <w:b/>
          <w:i w:val="false"/>
          <w:color w:val="000000"/>
          <w:sz w:val="22"/>
        </w:rPr>
        <w:t xml:space="preserve">(502,505) </w:t>
      </w:r>
      <w:r>
        <w:rPr>
          <w:rFonts w:ascii="Times New Roman" w:hAnsi="Times New Roman"/>
          <w:b/>
          <w:i w:val="false"/>
          <w:color w:val="000000"/>
          <w:sz w:val="22"/>
        </w:rPr>
        <w:t xml:space="preserve">Mission. </w:t>
      </w:r>
      <w:r>
        <w:rPr>
          <w:rFonts w:ascii="Times New Roman" w:hAnsi="Times New Roman"/>
          <w:b w:val="false"/>
          <w:i w:val="false"/>
          <w:color w:val="000000"/>
          <w:sz w:val="22"/>
        </w:rPr>
        <w:t>The division protects consumers through consumer education and enforcement while effectively and efficiently providing a fair, flexible, and positive regulatory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w:t>
      </w:r>
      <w:r>
        <w:rPr>
          <w:rFonts w:ascii="Times New Roman" w:hAnsi="Times New Roman"/>
          <w:b/>
          <w:i w:val="false"/>
          <w:color w:val="000000"/>
          <w:sz w:val="22"/>
        </w:rPr>
        <w:t xml:space="preserve">(502,505) </w:t>
      </w:r>
      <w:r>
        <w:rPr>
          <w:rFonts w:ascii="Times New Roman" w:hAnsi="Times New Roman"/>
          <w:b/>
          <w:i w:val="false"/>
          <w:color w:val="000000"/>
          <w:sz w:val="22"/>
        </w:rPr>
        <w:t xml:space="preserve">General course and method of operations. </w:t>
      </w:r>
      <w:r>
        <w:rPr>
          <w:rFonts w:ascii="Times New Roman" w:hAnsi="Times New Roman"/>
          <w:b w:val="false"/>
          <w:i w:val="false"/>
          <w:color w:val="000000"/>
          <w:sz w:val="22"/>
        </w:rPr>
        <w:t>The division is the state regulator that supervises all insurance business transacted in the state of Iowa as well as securities and other regulated industries.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w:t>
      </w:r>
      <w:r>
        <w:rPr>
          <w:rFonts w:ascii="Times New Roman" w:hAnsi="Times New Roman"/>
          <w:b/>
          <w:i w:val="false"/>
          <w:color w:val="000000"/>
          <w:sz w:val="22"/>
        </w:rPr>
        <w:t xml:space="preserve">(502,505) </w:t>
      </w:r>
      <w:r>
        <w:rPr>
          <w:rFonts w:ascii="Times New Roman" w:hAnsi="Times New Roman"/>
          <w:b/>
          <w:i w:val="false"/>
          <w:color w:val="000000"/>
          <w:sz w:val="22"/>
        </w:rPr>
        <w:t xml:space="preserve">Contact information and business hours. </w:t>
      </w:r>
      <w:r>
        <w:rPr>
          <w:rFonts w:ascii="Times New Roman" w:hAnsi="Times New Roman"/>
          <w:b w:val="false"/>
          <w:i w:val="false"/>
          <w:color w:val="000000"/>
          <w:sz w:val="22"/>
        </w:rPr>
        <w:t xml:space="preserve">The division’s office and mailing address is 1963 Bell Avenue, Suite 100, Des Moines, Iowa 50315. The general telephone number for the division is 515.654.6600 or 1.877.955.1212. The division’s facsimile number is 515.654.6500. The division’s website address is </w:t>
      </w:r>
      <w:hyperlink r:id="rId6">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The division’s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excluding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w:t>
      </w:r>
      <w:r>
        <w:rPr>
          <w:rFonts w:ascii="Times New Roman" w:hAnsi="Times New Roman"/>
          <w:b/>
          <w:i w:val="false"/>
          <w:color w:val="000000"/>
          <w:sz w:val="22"/>
        </w:rPr>
        <w:t xml:space="preserve">(502,505) </w:t>
      </w:r>
      <w:r>
        <w:rPr>
          <w:rFonts w:ascii="Times New Roman" w:hAnsi="Times New Roman"/>
          <w:b/>
          <w:i w:val="false"/>
          <w:color w:val="000000"/>
          <w:sz w:val="22"/>
        </w:rPr>
        <w:t xml:space="preserve">Information, forms, and requests. </w:t>
      </w:r>
      <w:r>
        <w:rPr>
          <w:rFonts w:ascii="Times New Roman" w:hAnsi="Times New Roman"/>
          <w:b w:val="false"/>
          <w:i w:val="false"/>
          <w:color w:val="000000"/>
          <w:sz w:val="22"/>
        </w:rPr>
        <w:t>Information, applications, and forms may be obtained from the division’s website, in person at the division’s offices, or by telephone using the division’s general telephone number. Specific instructions, forms and guidance may be provided in administrative rules or on the division’s website. Submissions and requests can be submitted through the division’s website, in person, or by telephone.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w:t>
      </w:r>
      <w:r>
        <w:rPr>
          <w:rFonts w:ascii="Times New Roman" w:hAnsi="Times New Roman"/>
          <w:b/>
          <w:i w:val="false"/>
          <w:color w:val="000000"/>
          <w:sz w:val="22"/>
        </w:rPr>
        <w:t xml:space="preserve">(502,505)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division is headed by the commissioner, who is assisted by a first deputy commissioner, a second deputy commissioner, a deputy commissioner for supervision, and other deputy commissioners and assistant commissioners. The functions of the division are divided into eight bureaus.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bureau. </w:t>
      </w:r>
      <w:r>
        <w:rPr>
          <w:rFonts w:ascii="Times New Roman" w:hAnsi="Times New Roman"/>
          <w:b w:val="false"/>
          <w:i w:val="false"/>
          <w:color w:val="000000"/>
          <w:sz w:val="22"/>
        </w:rPr>
        <w:t>The administrative bureau provides staff support to the commissioner and the division and is responsible for budget, personnel, procurement, communication, legislative,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Company regulation bureau. </w:t>
      </w:r>
      <w:r>
        <w:rPr>
          <w:rFonts w:ascii="Times New Roman" w:hAnsi="Times New Roman"/>
          <w:b w:val="false"/>
          <w:i w:val="false"/>
          <w:color w:val="000000"/>
          <w:sz w:val="22"/>
        </w:rPr>
        <w:t>The company regulation bureau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Regulating domestic and foreign insurance companies licensed in Iowa, through licensure, analysis and financial and market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Examining the financial condition of domestic insurance companies not less than once every five years. Foreign companies are examined as deemed appropriate. The bureau ensures compliance with National Association of Insurance Commissioners accreditation mandates and with financial examination and analysis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as a general insurance information repository and resource for both insurers and consumers and publishing the division’s annual report to the governor, required by Iowa Code section </w:t>
      </w:r>
      <w:hyperlink r:id="rId7">
        <w:r>
          <w:rPr>
            <w:rStyle w:val="Hyperlink"/>
            <w:rFonts w:ascii="Times New Roman" w:hAnsi="Times New Roman"/>
            <w:b w:val="false"/>
            <w:i w:val="false"/>
            <w:color w:val="000000"/>
            <w:sz w:val="22"/>
          </w:rPr>
          <w:t>505.12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Reviewing and approving filed company transactions, including but not limited to approval of acquisitions and mergers of domestic insurers, intercompany contractual agreements and assumption reinsurance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Authorizing and overseeing individual and group workers’ compensation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Authorizing, examining and analyzing benevolent associations and fraternal benefit societies.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Authorizing and reviewing multiple employer welfare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Registering and verifying compliance for risk retention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Supervising the rehabilitation and liquidation of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Auditing and monitoring premium tax remittances for admitted companies and supervising statutory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Reviewing and approving admission applications for foreign surplus lines insurers, as well as conducting premium tax audits associated with the nonadmitted insurance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Implementing and maintaining the division’s information technology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Securities and regulated industries bureau. </w:t>
      </w:r>
      <w:r>
        <w:rPr>
          <w:rFonts w:ascii="Times New Roman" w:hAnsi="Times New Roman"/>
          <w:b w:val="false"/>
          <w:i w:val="false"/>
          <w:color w:val="000000"/>
          <w:sz w:val="22"/>
        </w:rPr>
        <w:t>The securities and regulated industries bureau is responsible for administering and enforcing the Iowa uniform securities Act through enforcement, licensing, and securities registration to ensure investor protection and a positive climate for capital formation. The bureau is also responsible for protecting the public by administering and enforcing rules related to motor vehicle service contracts, residential service contracts, retirement facilities, cemeteries, and preneed purchase agreements for cemetery merchandise, funeral merchandise and funeral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Consumer advocate bureau. </w:t>
      </w:r>
      <w:r>
        <w:rPr>
          <w:rFonts w:ascii="Times New Roman" w:hAnsi="Times New Roman"/>
          <w:b w:val="false"/>
          <w:i w:val="false"/>
          <w:color w:val="000000"/>
          <w:sz w:val="22"/>
        </w:rPr>
        <w:t xml:space="preserve">The consumer advocate bureau consists of the consumer advocate and, in addition to being responsible for the duties described in Iowa Code section </w:t>
      </w:r>
      <w:hyperlink r:id="rId8">
        <w:r>
          <w:rPr>
            <w:rStyle w:val="Hyperlink"/>
            <w:rFonts w:ascii="Times New Roman" w:hAnsi="Times New Roman"/>
            <w:b w:val="false"/>
            <w:i w:val="false"/>
            <w:color w:val="000000"/>
            <w:sz w:val="22"/>
          </w:rPr>
          <w:t>505.8(6)</w:t>
        </w:r>
      </w:hyperlink>
      <w:r>
        <w:rPr>
          <w:rFonts w:ascii="Times New Roman" w:hAnsi="Times New Roman"/>
          <w:b w:val="false"/>
          <w:i/>
          <w:color w:val="000000"/>
          <w:sz w:val="22"/>
        </w:rPr>
        <w:t>“b,”</w:t>
      </w:r>
      <w:r>
        <w:rPr>
          <w:rFonts w:ascii="Times New Roman" w:hAnsi="Times New Roman"/>
          <w:b w:val="false"/>
          <w:i w:val="false"/>
          <w:color w:val="000000"/>
          <w:sz w:val="22"/>
        </w:rPr>
        <w:t xml:space="preserve"> is responsible for providing outreach to consumers, assisting in creation of consumer protection laws and regulations, and reviewing complaints. In order to fulfill the prescribed duties, the commissioner has delegated investigation and enforcement duties to the market regulation, enforcement, and fraud bureaus.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Market regulation bureau. </w:t>
      </w:r>
      <w:r>
        <w:rPr>
          <w:rFonts w:ascii="Times New Roman" w:hAnsi="Times New Roman"/>
          <w:b w:val="false"/>
          <w:i w:val="false"/>
          <w:color w:val="000000"/>
          <w:sz w:val="22"/>
        </w:rPr>
        <w:t>The market regulation bureau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fair treatment of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Investigating unfair or deceptive trade practices in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investigating and responding to inquiries and complaints from the public regarding insurance producers and insurers.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requested by consumers, coordinating external reviews of health insurance claim decisions if insurance companies deny benefits either on the basis that the services were not medically necessary or on the basis that the services were investigational or experimental.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requested by consumers, coordinating independent reviews of long-term care insurance claim decisions if insurance companies deny benefits on the basis that insureds did not meet benefit trigger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Enforcement bureau. </w:t>
      </w:r>
      <w:r>
        <w:rPr>
          <w:rFonts w:ascii="Times New Roman" w:hAnsi="Times New Roman"/>
          <w:b w:val="false"/>
          <w:i w:val="false"/>
          <w:color w:val="000000"/>
          <w:sz w:val="22"/>
        </w:rPr>
        <w:t>The enforcement bureau takes administrative action against individuals and entities regulated by the division for violations of insurance, securities, and other laws under the authority of the division and provides legal counsel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color w:val="000000"/>
          <w:sz w:val="22"/>
        </w:rPr>
        <w:t xml:space="preserve">Fraud bureau. </w:t>
      </w:r>
      <w:r>
        <w:rPr>
          <w:rFonts w:ascii="Times New Roman" w:hAnsi="Times New Roman"/>
          <w:b w:val="false"/>
          <w:i w:val="false"/>
          <w:color w:val="000000"/>
          <w:sz w:val="22"/>
        </w:rPr>
        <w:t xml:space="preserve">The fraud bureau confronts the problem of insurance and securities fraud by prevention, investigation, and prosecution of fraudulent insurance acts in an effort to reduce the amount of premium dollars used to pay fraudulent insurance claims, as set forth in Iowa Code chapter </w:t>
      </w:r>
      <w:hyperlink r:id="rId9">
        <w:r>
          <w:rPr>
            <w:rStyle w:val="Hyperlink"/>
            <w:rFonts w:ascii="Times New Roman" w:hAnsi="Times New Roman"/>
            <w:b w:val="false"/>
            <w:i w:val="false"/>
            <w:color w:val="000000"/>
            <w:sz w:val="22"/>
          </w:rPr>
          <w:t>507E</w:t>
        </w:r>
      </w:hyperlink>
      <w:r>
        <w:rPr>
          <w:rFonts w:ascii="Times New Roman" w:hAnsi="Times New Roman"/>
          <w:b w:val="false"/>
          <w:i w:val="false"/>
          <w:color w:val="000000"/>
          <w:sz w:val="22"/>
        </w:rPr>
        <w:t>, and may refer such matters to the appropriate jurisdiction for action 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w:t>
      </w:r>
      <w:r>
        <w:rPr>
          <w:rFonts w:ascii="Times New Roman" w:hAnsi="Times New Roman"/>
          <w:b w:val="false"/>
          <w:i w:val="false"/>
          <w:color w:val="000000"/>
          <w:sz w:val="22"/>
        </w:rPr>
        <w:t> </w:t>
      </w:r>
      <w:r>
        <w:rPr>
          <w:rFonts w:ascii="Times New Roman" w:hAnsi="Times New Roman"/>
          <w:b w:val="false"/>
          <w:i/>
          <w:color w:val="000000"/>
          <w:sz w:val="22"/>
        </w:rPr>
        <w:t xml:space="preserve">Product and producer regulation bureau. </w:t>
      </w:r>
      <w:r>
        <w:rPr>
          <w:rFonts w:ascii="Times New Roman" w:hAnsi="Times New Roman"/>
          <w:b w:val="false"/>
          <w:i w:val="false"/>
          <w:color w:val="000000"/>
          <w:sz w:val="22"/>
        </w:rPr>
        <w:t>The product and producer regulation bureau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Reviewing, approving or disapproving property, casualty, life and health forms and, where provided by law, premium rates of certain types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actuarial analysis of life and health insurance plans funded by certain public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Licensing, registering, and monitoring entities and individuals under the authority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Overseeing the senior health insurance information program (SHIIP) and senior Medicare patrol (SMP) and other Medicare beneficiaries and their families and caregivers. These programs include providing information needed to make informed decisions about care and benefits; accessing financial assistance to cover related costs; and preventing Medicare fraud, errors and abuse.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191—1.7</w:t>
      </w:r>
      <w:r>
        <w:rPr>
          <w:rFonts w:ascii="Times New Roman" w:hAnsi="Times New Roman"/>
          <w:b/>
          <w:i w:val="false"/>
          <w:color w:val="000000"/>
          <w:sz w:val="22"/>
        </w:rPr>
        <w:t xml:space="preserve">(505) </w:t>
      </w:r>
      <w:r>
        <w:rPr>
          <w:rFonts w:ascii="Times New Roman" w:hAnsi="Times New Roman"/>
          <w:b/>
          <w:i w:val="false"/>
          <w:color w:val="000000"/>
          <w:sz w:val="22"/>
        </w:rPr>
        <w:t xml:space="preserve">Service of process. </w:t>
      </w:r>
      <w:r>
        <w:rPr>
          <w:rFonts w:ascii="Times New Roman" w:hAnsi="Times New Roman"/>
          <w:b w:val="false"/>
          <w:i w:val="false"/>
          <w:color w:val="000000"/>
          <w:sz w:val="22"/>
        </w:rPr>
        <w:t>Certain individuals and entities under the jurisdiction of the commissioner are required by law to consent to having the commissioner serve as agent for the individual or entity for the purpose of receiving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Request for service. </w:t>
      </w:r>
      <w:r>
        <w:rPr>
          <w:rFonts w:ascii="Times New Roman" w:hAnsi="Times New Roman"/>
          <w:b w:val="false"/>
          <w:i w:val="false"/>
          <w:color w:val="000000"/>
          <w:sz w:val="22"/>
        </w:rPr>
        <w:t xml:space="preserve">A party to a proceeding who requests that the commissioner accept service of process as allowed by law must submit to the division, at the address stated in rule </w:t>
      </w:r>
      <w:hyperlink r:id="rId10">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individual or entity to be served, one original and one copy of the documents to be served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cover letter indicating the name of each individual or entity to be served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check for service fees, made payable to Iowa Insurance Division, for $50 for each individual or entity to be served, unless another amount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Division actions. </w:t>
      </w:r>
      <w:r>
        <w:rPr>
          <w:rFonts w:ascii="Times New Roman" w:hAnsi="Times New Roman"/>
          <w:b w:val="false"/>
          <w:i w:val="false"/>
          <w:color w:val="000000"/>
          <w:sz w:val="22"/>
        </w:rPr>
        <w:t xml:space="preserve">After the division receives the items listed in paragraph </w:t>
      </w:r>
      <w:hyperlink r:id="rId11">
        <w:r>
          <w:rPr>
            <w:rStyle w:val="Hyperlink"/>
            <w:rFonts w:ascii="Times New Roman" w:hAnsi="Times New Roman"/>
            <w:b w:val="false"/>
            <w:i w:val="false"/>
            <w:color w:val="000000"/>
            <w:sz w:val="22"/>
          </w:rPr>
          <w:t>1.7(1)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division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service of process on behalf of the individual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Forward, by certified mail, the original documents to the individual or entity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a notice of acceptance electronically through the Iowa court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Types of documents the division will 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serve documents related to the initiation of a case, such as original notices, petitions, and jury demands. The division will not serve documents related to later processes in a case, including but not limited to subpoenas and garnishments, unless required to do so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will serve documents related to matters in the Iowa court system. The division will not serve documents related to matters in other courts, including but not limited to the federal court system, or matters in other administrative systems, except for workers’ compensation cases filed with the Iowa division of workers’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502.601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502.605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505.30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7729C</w:t>
      </w:r>
      <w:r>
        <w:rPr>
          <w:rFonts w:ascii="Times New Roman" w:hAnsi="Times New Roman"/>
          <w:b w:val="false"/>
          <w:i w:val="false"/>
          <w:color w:val="000000"/>
          <w:sz w:val="21"/>
        </w:rPr>
        <w:t xml:space="preserve"> (Notice ARC 7344C,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id.iowa.gov" Type="http://schemas.openxmlformats.org/officeDocument/2006/relationships/hyperlink" Id="rId5"/>
    <Relationship TargetMode="External" Target="http://iid.iowa.gov" Type="http://schemas.openxmlformats.org/officeDocument/2006/relationships/hyperlink" Id="rId6"/>
    <Relationship TargetMode="External" Target="https://www.legis.iowa.gov/docs/ico/chapter/505.12.pdf" Type="http://schemas.openxmlformats.org/officeDocument/2006/relationships/hyperlink" Id="rId7"/>
    <Relationship TargetMode="External" Target="https://www.legis.iowa.gov/docs/ico/chapter/505.8.pdf" Type="http://schemas.openxmlformats.org/officeDocument/2006/relationships/hyperlink" Id="rId8"/>
    <Relationship TargetMode="External" Target="https://www.legis.iowa.gov/docs/ico/chapter/507E.pdf" Type="http://schemas.openxmlformats.org/officeDocument/2006/relationships/hyperlink" Id="rId9"/>
    <Relationship TargetMode="External" Target="https://www.legis.iowa.gov/docs/iac/rule/191.1.4.pdf" Type="http://schemas.openxmlformats.org/officeDocument/2006/relationships/hyperlink" Id="rId10"/>
    <Relationship TargetMode="External" Target="https://www.legis.iowa.gov/docs/iac/rule/191.1.7.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502.601.pdf" Type="http://schemas.openxmlformats.org/officeDocument/2006/relationships/hyperlink" Id="rId13"/>
    <Relationship TargetMode="External" Target="https://www.legis.iowa.gov/docs/ico/chapter/502.605.pdf" Type="http://schemas.openxmlformats.org/officeDocument/2006/relationships/hyperlink" Id="rId14"/>
    <Relationship TargetMode="External" Target="https://www.legis.iowa.gov/docs/ico/chapter/505.1.pdf" Type="http://schemas.openxmlformats.org/officeDocument/2006/relationships/hyperlink" Id="rId15"/>
    <Relationship TargetMode="External" Target="https://www.legis.iowa.gov/docs/ico/chapter/505.30.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