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REAL ESTATE LENDING</w:t>
      </w:r>
    </w:p>
    <w:p>
      <w:pPr>
        <w:spacing w:before="0" w:after="0"/>
        <w:ind w:left="120"/>
        <w:jc w:val="center"/>
      </w:pPr>
      <w:r>
        <w:rPr>
          <w:rFonts w:ascii="Times New Roman" w:hAnsi="Times New Roman"/>
          <w:b w:val="false"/>
          <w:i w:val="false"/>
          <w:color w:val="000000"/>
          <w:sz w:val="14"/>
        </w:rPr>
        <w:t>[Prior to 7/6/94, see 189—Chs 9 and 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189—9.1</w:t>
      </w:r>
      <w:r>
        <w:rPr>
          <w:rFonts w:ascii="Times New Roman" w:hAnsi="Times New Roman"/>
          <w:b/>
          <w:i w:val="false"/>
          <w:color w:val="000000"/>
          <w:sz w:val="22"/>
        </w:rPr>
        <w:t xml:space="preserve">(533) </w:t>
      </w:r>
      <w:r>
        <w:rPr>
          <w:rFonts w:ascii="Times New Roman" w:hAnsi="Times New Roman"/>
          <w:b/>
          <w:i w:val="false"/>
          <w:color w:val="000000"/>
          <w:sz w:val="22"/>
        </w:rPr>
        <w:t xml:space="preserve">Real estate lending. </w:t>
      </w:r>
      <w:r>
        <w:rPr>
          <w:rFonts w:ascii="Times New Roman" w:hAnsi="Times New Roman"/>
          <w:b w:val="false"/>
          <w:i w:val="false"/>
          <w:color w:val="000000"/>
          <w:sz w:val="22"/>
        </w:rPr>
        <w:t>These rules shall apply to real estate-related loans either originated by a credit union or acquired by purchase, assignment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credit union shall formulate and maintain a written real estate lending policy that is appropriate for the size of the credit union and the nature and scope of its operation. Each policy must be comprehensive and consistent with safe and sound lending practices. The standards and limits established in the policy must be reviewed and approved at least annually by the board. The real estate lending policy should reflect the level of risk that is acceptable to the board and should provide clear and measurable underwriting standards that enable the credit union’s lending staff to evaluate all relevant credit factors. The real estate lending policy, at a minimum,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loan portfolio diversification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 appropriate terms and conditions by type of real estate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loan origination and approval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 prudent underwriting standards which include clear and measurable loan-to-value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Establish review and approval procedures for exempted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Establish loan administration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Establish real estate appraisal and evaluation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 the portfolio and provide timely reports to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Establish conformance with secondary market investor requirements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credit union shall establish its own internal loan-to-value (LTV) limits for real estate loans.</w:t>
      </w:r>
    </w:p>
    <w:p>
      <w:pPr>
        <w:spacing w:before="0" w:after="0"/>
        <w:ind w:left="120"/>
        <w:jc w:val="both"/>
      </w:pPr>
      <w:r>
        <w:rPr>
          <w:rFonts w:ascii="Times New Roman" w:hAnsi="Times New Roman"/>
          <w:b w:val="false"/>
          <w:i w:val="false"/>
          <w:color w:val="000000"/>
          <w:sz w:val="22"/>
        </w:rPr>
        <w:t>When formulating the real estate policy, the board should consider both internal and external factors, such as size and condition of the credit union, expertise of its lending staff, avoidance of undue concentrations of risk, compliance with all real estate-related laws and rules, and general market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val="false"/>
          <w:color w:val="000000"/>
          <w:sz w:val="22"/>
        </w:rPr>
        <w:t>Real estate loans made for sale into the secondary market shall be considered in transit for a period of up to 90 days after being sold and shall not be considered risk assets for reserving purposes during this time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533.315(4)</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189—9.2</w:t>
      </w:r>
      <w:r>
        <w:rPr>
          <w:rFonts w:ascii="Times New Roman" w:hAnsi="Times New Roman"/>
          <w:b/>
          <w:i w:val="false"/>
          <w:color w:val="000000"/>
          <w:sz w:val="22"/>
        </w:rPr>
        <w:t xml:space="preserve">(533) </w:t>
      </w:r>
      <w:r>
        <w:rPr>
          <w:rFonts w:ascii="Times New Roman" w:hAnsi="Times New Roman"/>
          <w:b/>
          <w:i w:val="false"/>
          <w:color w:val="000000"/>
          <w:sz w:val="22"/>
        </w:rPr>
        <w:t xml:space="preserve">Evidence of title. </w:t>
      </w:r>
      <w:r>
        <w:rPr>
          <w:rFonts w:ascii="Times New Roman" w:hAnsi="Times New Roman"/>
          <w:b w:val="false"/>
          <w:i w:val="false"/>
          <w:color w:val="000000"/>
          <w:sz w:val="22"/>
        </w:rPr>
        <w:t>When lending for the purpose of acquisition or for the purpose of refinance of acquisition, when a new mortgage, deed of trust, or similar instrument is filed, the credit union shall obtain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written legal opinion by an attorney admitted to practice in the state in which the real estate is located showing marketable title in the mortgagor and describing any existing liens and stating that the credit union’s mortgage, deed of trust, or similar instrument is a first lien on the real estate;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Title insurance written by an insurance company licensed to do business in the state in which the real estate is located describing any existing liens and insuring the title to the real estate and the validity and enforceability of the mortgage, deed of trust, or similar instrument as a first lien on the real estate.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533.315(4)</w:t>
        </w:r>
      </w:hyperlink>
      <w:r>
        <w:rPr>
          <w:rFonts w:ascii="Times New Roman" w:hAnsi="Times New Roman"/>
          <w:b w:val="false"/>
          <w:i/>
          <w:color w:val="000000"/>
          <w:sz w:val="22"/>
        </w:rPr>
        <w:t>“a.”</w:t>
      </w:r>
    </w:p>
    <w:p>
      <w:pPr>
        <w:spacing w:before="0" w:after="0"/>
        <w:ind w:left="120"/>
        <w:jc w:val="center"/>
      </w:pPr>
      <w:r>
        <w:rPr>
          <w:rFonts w:ascii="Times New Roman" w:hAnsi="Times New Roman"/>
          <w:b w:val="false"/>
          <w:i w:val="false"/>
          <w:color w:val="000000"/>
          <w:sz w:val="21"/>
        </w:rPr>
        <w:t>[Filed 11/9/79, Notice 9/5/79—published 11/28/79, effective 1/30/80]</w:t>
      </w:r>
    </w:p>
    <w:p>
      <w:pPr>
        <w:spacing w:before="0" w:after="0"/>
        <w:ind w:left="120"/>
        <w:jc w:val="center"/>
      </w:pPr>
      <w:r>
        <w:rPr>
          <w:rFonts w:ascii="Times New Roman" w:hAnsi="Times New Roman"/>
          <w:b w:val="false"/>
          <w:i w:val="false"/>
          <w:color w:val="000000"/>
          <w:sz w:val="21"/>
        </w:rPr>
        <w:t>[Filed 12/20/79, Notice 10/31/79—published 1/9/80, effective 2/13/80]</w:t>
      </w:r>
    </w:p>
    <w:p>
      <w:pPr>
        <w:spacing w:before="0" w:after="0"/>
        <w:ind w:left="120"/>
        <w:jc w:val="center"/>
      </w:pPr>
      <w:r>
        <w:rPr>
          <w:rFonts w:ascii="Times New Roman" w:hAnsi="Times New Roman"/>
          <w:b w:val="false"/>
          <w:i w:val="false"/>
          <w:color w:val="000000"/>
          <w:sz w:val="21"/>
        </w:rPr>
        <w:t>[Filed emergency 9/24/82 after Notice 8/4/82—published 10/13/82, effective 9/24/82]</w:t>
      </w:r>
    </w:p>
    <w:p>
      <w:pPr>
        <w:spacing w:before="0" w:after="0"/>
        <w:ind w:left="120"/>
        <w:jc w:val="center"/>
      </w:pPr>
      <w:r>
        <w:rPr>
          <w:rFonts w:ascii="Times New Roman" w:hAnsi="Times New Roman"/>
          <w:b w:val="false"/>
          <w:i w:val="false"/>
          <w:color w:val="000000"/>
          <w:sz w:val="21"/>
        </w:rPr>
        <w:t>[Filed 2/22/85, Notice 11/7/84—published 3/13/85, effective 4/17/85]</w:t>
      </w:r>
    </w:p>
    <w:p>
      <w:pPr>
        <w:spacing w:before="0" w:after="0"/>
        <w:ind w:left="120"/>
        <w:jc w:val="center"/>
      </w:pPr>
      <w:r>
        <w:rPr>
          <w:rFonts w:ascii="Times New Roman" w:hAnsi="Times New Roman"/>
          <w:b w:val="false"/>
          <w:i w:val="false"/>
          <w:color w:val="000000"/>
          <w:sz w:val="21"/>
        </w:rPr>
        <w:t>[Filed emergency 8/21/86—published 9/10/86, effective 8/21/86]</w:t>
      </w:r>
    </w:p>
    <w:p>
      <w:pPr>
        <w:spacing w:before="0" w:after="0"/>
        <w:ind w:left="120"/>
        <w:jc w:val="center"/>
      </w:pPr>
      <w:r>
        <w:rPr>
          <w:rFonts w:ascii="Times New Roman" w:hAnsi="Times New Roman"/>
          <w:b w:val="false"/>
          <w:i w:val="false"/>
          <w:color w:val="000000"/>
          <w:sz w:val="21"/>
        </w:rPr>
        <w:t>[Filed 6/15/94, Notice 5/11/94—published 7/6/94, effective 8/10/94]</w:t>
      </w:r>
    </w:p>
    <w:p>
      <w:pPr>
        <w:spacing w:before="0" w:after="0"/>
        <w:ind w:left="120"/>
        <w:jc w:val="center"/>
      </w:pPr>
      <w:r>
        <w:rPr>
          <w:rFonts w:ascii="Times New Roman" w:hAnsi="Times New Roman"/>
          <w:b w:val="false"/>
          <w:i w:val="false"/>
          <w:color w:val="000000"/>
          <w:sz w:val="21"/>
        </w:rPr>
        <w:t>[Filed 1/24/97, Notice 12/18/96—published 2/12/97, effective 3/19/97]</w:t>
      </w:r>
    </w:p>
    <w:p>
      <w:pPr>
        <w:spacing w:before="0" w:after="0"/>
        <w:ind w:left="120"/>
        <w:jc w:val="center"/>
      </w:pPr>
      <w:r>
        <w:rPr>
          <w:rFonts w:ascii="Times New Roman" w:hAnsi="Times New Roman"/>
          <w:b w:val="false"/>
          <w:i w:val="false"/>
          <w:color w:val="000000"/>
          <w:sz w:val="21"/>
        </w:rPr>
        <w:t>[Filed 1/31/03, Notice 12/25/02—published 2/19/03, effective 3/26/03]</w:t>
      </w:r>
    </w:p>
    <w:p>
      <w:pPr>
        <w:spacing w:before="0" w:after="0"/>
        <w:ind w:left="120"/>
        <w:jc w:val="center"/>
      </w:pPr>
      <w:r>
        <w:rPr>
          <w:rFonts w:ascii="Times New Roman" w:hAnsi="Times New Roman"/>
          <w:b w:val="false"/>
          <w:i w:val="false"/>
          <w:color w:val="000000"/>
          <w:sz w:val="21"/>
        </w:rPr>
        <w:t>[Filed 11/3/05, Notice 9/28/05—published 11/23/05, effective 12/28/05]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6553C</w:t>
      </w:r>
      <w:r>
        <w:rPr>
          <w:rFonts w:ascii="Times New Roman" w:hAnsi="Times New Roman"/>
          <w:b w:val="false"/>
          <w:i w:val="false"/>
          <w:color w:val="000000"/>
          <w:sz w:val="21"/>
        </w:rPr>
        <w:t xml:space="preserve"> (Notice ARC 6443C, IAB 8/10/22)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315.pdf" Type="http://schemas.openxmlformats.org/officeDocument/2006/relationships/hyperlink" Id="rId5"/>
    <Relationship TargetMode="External" Target="https://www.legis.iowa.gov/docs/ico/chapter/533.31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