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BRANCH OFFICES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189—6.1</w:t>
      </w:r>
      <w:r>
        <w:rPr>
          <w:rFonts w:ascii="Times New Roman" w:hAnsi="Times New Roman"/>
          <w:b/>
          <w:i w:val="false"/>
          <w:color w:val="000000"/>
          <w:sz w:val="22"/>
        </w:rPr>
        <w:t xml:space="preserve">(533) </w:t>
      </w:r>
      <w:r>
        <w:rPr>
          <w:rFonts w:ascii="Times New Roman" w:hAnsi="Times New Roman"/>
          <w:b/>
          <w:i w:val="false"/>
          <w:color w:val="000000"/>
          <w:sz w:val="22"/>
        </w:rPr>
        <w:t xml:space="preserve">Establishment of branch offices.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 branch office is determined to be a place where ordinary services of the credit union are provided to the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state chartered credit union desiring to establish and operate a branch or administrative office shall submit to the superintendent an “Application to Establish a Branch or Office.” A state chartered credit union owning an interest in a credit union service organization shall submit to the superintendent an “Application to Establish a Branch or Office” for any building which is intended to be used primarily by the credit union or credit union members, even if the building is owned by the credit union service organization. The application and instructions for preparing and filing it are furnished upon request. However, the superintendent may waive the application requirement when in the superintendent’s opinion the waiver is necessary or desirable.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w:t>
      </w:r>
      <w:r>
        <w:rPr>
          <w:rFonts w:ascii="Times New Roman" w:hAnsi="Times New Roman"/>
          <w:b w:val="false"/>
          <w:i w:val="false"/>
          <w:color w:val="000000"/>
          <w:sz w:val="22"/>
        </w:rPr>
        <w:t> </w:t>
      </w:r>
      <w:r>
        <w:rPr>
          <w:rFonts w:ascii="Times New Roman" w:hAnsi="Times New Roman"/>
          <w:b w:val="false"/>
          <w:i w:val="false"/>
          <w:color w:val="000000"/>
          <w:sz w:val="22"/>
        </w:rPr>
        <w:t>Reserved for hearing and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w:t>
      </w:r>
      <w:r>
        <w:rPr>
          <w:rFonts w:ascii="Times New Roman" w:hAnsi="Times New Roman"/>
          <w:b w:val="false"/>
          <w:i w:val="false"/>
          <w:color w:val="000000"/>
          <w:sz w:val="22"/>
        </w:rPr>
        <w:t> </w:t>
      </w:r>
      <w:r>
        <w:rPr>
          <w:rFonts w:ascii="Times New Roman" w:hAnsi="Times New Roman"/>
          <w:b w:val="false"/>
          <w:i/>
          <w:color w:val="000000"/>
          <w:sz w:val="22"/>
        </w:rPr>
        <w:t xml:space="preserve">Guidelines. </w:t>
      </w:r>
      <w:r>
        <w:rPr>
          <w:rFonts w:ascii="Times New Roman" w:hAnsi="Times New Roman"/>
          <w:b w:val="false"/>
          <w:i w:val="false"/>
          <w:color w:val="000000"/>
          <w:sz w:val="22"/>
        </w:rPr>
        <w:t>In determining whether or not approval of a branch office should be granted, the superintendent will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establishment of a branch office is reasonably necessary for service to, and is in the best interest of, the applicant credit union’s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member population density and other economic characteristics of the area primarily to be served by the proposed office afford reasonable promise of adequate support for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capital structure of the applicant credit union is adequate in relation to the costs and anticipated increased business, if any, occasioned by the proposed branch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operation and management of the applicant credit union is such as will adequately provide for a branch office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Such other factors as the superintendent determines appropriate or necessary in determining an applicant credit union’s ability to establish and operate a branch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If after notice and hearing the decision of the superintendent is favorable, the superintendent shall issue certification to evidence approval for the establishment and operation of the branch office to be effective on a specified date and at a designated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application. </w:t>
      </w:r>
      <w:r>
        <w:rPr>
          <w:rFonts w:ascii="Times New Roman" w:hAnsi="Times New Roman"/>
          <w:b w:val="false"/>
          <w:i w:val="false"/>
          <w:color w:val="000000"/>
          <w:sz w:val="22"/>
        </w:rPr>
        <w:t xml:space="preserve">Failure to file an “Application to Establish a Branch or Office” prior to closing on existing real estate or breaking ground on a building project may result in a fine of $100 per day, upon notice from the credit union division, until the application is submitted to the credit union division.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4632C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189—6.2</w:t>
      </w:r>
      <w:r>
        <w:rPr>
          <w:rFonts w:ascii="Times New Roman" w:hAnsi="Times New Roman"/>
          <w:b/>
          <w:i w:val="false"/>
          <w:color w:val="000000"/>
          <w:sz w:val="22"/>
        </w:rPr>
        <w:t xml:space="preserve">(533) </w:t>
      </w:r>
      <w:r>
        <w:rPr>
          <w:rFonts w:ascii="Times New Roman" w:hAnsi="Times New Roman"/>
          <w:b/>
          <w:i w:val="false"/>
          <w:color w:val="000000"/>
          <w:sz w:val="22"/>
        </w:rPr>
        <w:t xml:space="preserve">Change of location of branch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val="false"/>
          <w:color w:val="000000"/>
          <w:sz w:val="22"/>
        </w:rPr>
        <w:t>A credit union desiring to move its branch office shall submit to the superintendent an application to relocate a branch office. The rules governing the establishment of a branch office shall also govern the relocation of a branch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val="false"/>
          <w:color w:val="000000"/>
          <w:sz w:val="22"/>
        </w:rPr>
        <w:t>If a credit union elects to cease operations at a branch office facility such credit union shall notify the superintendent at least 60 days prior to the effective date of ceasing such operations.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533.301(19)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11/9/79, Notice 9/5/79—published 11/28/79, effective 1/2/80]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3/28/80, Notice 2/6/80—published 4/16/80, effective 5/21/80]</w:t>
      </w:r>
    </w:p>
    <w:p>
      <w:pPr>
        <w:spacing w:before="0" w:after="0"/>
        <w:ind w:left="120"/>
        <w:jc w:val="center"/>
      </w:pPr>
      <w:r>
        <w:rPr>
          <w:rFonts w:ascii="Times New Roman" w:hAnsi="Times New Roman"/>
          <w:b w:val="false"/>
          <w:i w:val="false"/>
          <w:color w:val="000000"/>
          <w:sz w:val="21"/>
        </w:rPr>
        <w:t>[Filed emergency 8/21/86—published 9/10/86, effective 8/21/86]</w:t>
      </w:r>
    </w:p>
    <w:p>
      <w:pPr>
        <w:spacing w:before="0" w:after="0"/>
        <w:ind w:left="120"/>
        <w:jc w:val="center"/>
      </w:pPr>
      <w:r>
        <w:rPr>
          <w:rFonts w:ascii="Times New Roman" w:hAnsi="Times New Roman"/>
          <w:b w:val="false"/>
          <w:i w:val="false"/>
          <w:color w:val="000000"/>
          <w:sz w:val="21"/>
        </w:rPr>
        <w:t>[Filed 2/17/87, Notice 11/19/86—published 3/11/87, effective 4/15/87]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4632C</w:t>
      </w:r>
      <w:r>
        <w:rPr>
          <w:rFonts w:ascii="Times New Roman" w:hAnsi="Times New Roman"/>
          <w:b w:val="false"/>
          <w:i w:val="false"/>
          <w:color w:val="000000"/>
          <w:sz w:val="21"/>
        </w:rPr>
        <w:t xml:space="preserve"> (Notice ARC 4331C, IAB 3/13/19)</w:t>
      </w:r>
      <w:r>
        <w:rPr>
          <w:rFonts w:ascii="Times New Roman" w:hAnsi="Times New Roman"/>
          <w:b w:val="false"/>
          <w:i w:val="false"/>
          <w:color w:val="000000"/>
          <w:sz w:val="21"/>
        </w:rPr>
        <w:t>, IAB 8/28/19, effective 10/2/19]</w:t>
      </w:r>
    </w:p>
    <w:p>
      <w:pPr>
        <w:pBdr>
          <w:bottom w:space="2"/>
        </w:pBdr>
        <w:spacing w:before="0" w:after="0"/>
        <w:ind w:left="120"/>
        <w:jc w:val="both"/>
      </w:pPr>
      <w:r>
        <w:rPr>
          <w:rFonts w:ascii="Times New Roman" w:hAnsi="Times New Roman"/>
          <w:b w:val="false"/>
          <w:i w:val="false"/>
          <w:color w:val="000000"/>
          <w:sz w:val="22"/>
        </w:rPr>
        <w:t>Effective date (Ch 6)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30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