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189—25.1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these rules means the Iowa credit union division.</w:t>
      </w:r>
    </w:p>
    <w:p>
      <w:pPr>
        <w:spacing w:before="210" w:after="0"/>
        <w:ind w:left="120"/>
        <w:jc w:val="both"/>
      </w:pPr>
      <w:r>
        <w:rPr>
          <w:rFonts w:ascii="Times New Roman" w:hAnsi="Times New Roman"/>
          <w:b/>
          <w:i w:val="false"/>
          <w:color w:val="000000"/>
          <w:sz w:val="22"/>
        </w:rPr>
        <w:t>189—25.3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189—25.6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189—25.9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189—25.10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189—25.11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189—25.12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189—25.13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189—25.14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5">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 credit union division does not currently have a data processing system which matches, collates, or permits the comparison of personally identifiable information in another record system. The record systems maintained by the agency which may contain personally identifiable information are the files of current and former agency employees. This information is collected pursuant to Iowa Code section </w:t>
      </w:r>
      <w:hyperlink r:id="rId6">
        <w:r>
          <w:rPr>
            <w:rStyle w:val="Hyperlink"/>
            <w:rFonts w:ascii="Times New Roman" w:hAnsi="Times New Roman"/>
            <w:b w:val="false"/>
            <w:i w:val="false"/>
            <w:color w:val="000000"/>
            <w:sz w:val="22"/>
          </w:rPr>
          <w:t>533.106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7">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8">
        <w:r>
          <w:rPr>
            <w:rStyle w:val="Hyperlink"/>
            <w:rFonts w:ascii="Times New Roman" w:hAnsi="Times New Roman"/>
            <w:b w:val="false"/>
            <w:i w:val="false"/>
            <w:color w:val="000000"/>
            <w:sz w:val="22"/>
          </w:rPr>
          <w:t>rule 25.13(17A,22)</w:t>
        </w:r>
      </w:hyperlink>
      <w:r>
        <w:rPr>
          <w:rFonts w:ascii="Times New Roman" w:hAnsi="Times New Roman"/>
          <w:b w:val="false"/>
          <w:i w:val="false"/>
          <w:color w:val="000000"/>
          <w:sz w:val="22"/>
        </w:rPr>
        <w:t xml:space="preserve">. In addition, the records listed in </w:t>
      </w:r>
      <w:hyperlink r:id="rId9">
        <w:r>
          <w:rPr>
            <w:rStyle w:val="Hyperlink"/>
            <w:rFonts w:ascii="Times New Roman" w:hAnsi="Times New Roman"/>
            <w:b w:val="false"/>
            <w:i w:val="false"/>
            <w:color w:val="000000"/>
            <w:sz w:val="22"/>
          </w:rPr>
          <w:t>subrules 25.15(1)</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25.15(4)</w:t>
        </w:r>
      </w:hyperlink>
      <w:r>
        <w:rPr>
          <w:rFonts w:ascii="Times New Roman" w:hAnsi="Times New Roman"/>
          <w:b w:val="false"/>
          <w:i w:val="false"/>
          <w:color w:val="000000"/>
          <w:sz w:val="22"/>
        </w:rPr>
        <w:t xml:space="preserve"> may contain information about individuals. All records are stored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Credit union review board records. </w:t>
      </w:r>
      <w:r>
        <w:rPr>
          <w:rFonts w:ascii="Times New Roman" w:hAnsi="Times New Roman"/>
          <w:b w:val="false"/>
          <w:i w:val="false"/>
          <w:color w:val="000000"/>
          <w:sz w:val="22"/>
        </w:rPr>
        <w:t xml:space="preserve">Agendas, minutes, and materials presented to the credit union review board are available from the office of the credit union division, except those records concerning closed sessions which are exempt from disclosure under Iowa Code section </w:t>
      </w:r>
      <w:hyperlink r:id="rId1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Credit union review board records contain information about people who participate in meetings. This information is collected pursuant to Iowa Code section </w:t>
      </w:r>
      <w:hyperlink r:id="rId1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credit union division.</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of credit unions subsequent to a public hearing under the provisions of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records may contain information about individuals making written or oral comments at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the policies and procedures for programs administered by the agency, is available in the office of the agency. Subscriptions to all or part of the employees’ manual are available at the cost of production and handling. Requests for subscription information should be addressed to Iowa Credit Union Division, 200 E. Grand Avenue, Suite 370, Des Moines, Iowa 50309.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of credit unions pursuant to the provisions of Iowa Code section </w:t>
      </w:r>
      <w:hyperlink r:id="rId15">
        <w:r>
          <w:rPr>
            <w:rStyle w:val="Hyperlink"/>
            <w:rFonts w:ascii="Times New Roman" w:hAnsi="Times New Roman"/>
            <w:b w:val="false"/>
            <w:i w:val="false"/>
            <w:color w:val="000000"/>
            <w:sz w:val="22"/>
          </w:rPr>
          <w:t>533.330</w:t>
        </w:r>
      </w:hyperlink>
      <w:r>
        <w:rPr>
          <w:rFonts w:ascii="Times New Roman" w:hAnsi="Times New Roman"/>
          <w:b w:val="false"/>
          <w:i w:val="false"/>
          <w:color w:val="000000"/>
          <w:sz w:val="22"/>
        </w:rPr>
        <w:t>. These reports are considered open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25.15(8)</w:t>
      </w:r>
      <w:r>
        <w:rPr>
          <w:rFonts w:ascii="Times New Roman" w:hAnsi="Times New Roman"/>
          <w:b w:val="false"/>
          <w:i w:val="false"/>
          <w:color w:val="000000"/>
          <w:sz w:val="22"/>
        </w:rPr>
        <w:t> </w:t>
      </w:r>
      <w:r>
        <w:rPr>
          <w:rFonts w:ascii="Times New Roman" w:hAnsi="Times New Roman"/>
          <w:b w:val="false"/>
          <w:i/>
          <w:color w:val="000000"/>
          <w:sz w:val="22"/>
        </w:rPr>
        <w:t xml:space="preserve">Officers, directors and shareholders. </w:t>
      </w:r>
      <w:r>
        <w:rPr>
          <w:rFonts w:ascii="Times New Roman" w:hAnsi="Times New Roman"/>
          <w:b w:val="false"/>
          <w:i w:val="false"/>
          <w:color w:val="000000"/>
          <w:sz w:val="22"/>
        </w:rPr>
        <w:t xml:space="preserve">Lists filed with the superintendent of credit unions pursuant to the provisions of Iowa Code section </w:t>
      </w:r>
      <w:hyperlink r:id="rId16">
        <w:r>
          <w:rPr>
            <w:rStyle w:val="Hyperlink"/>
            <w:rFonts w:ascii="Times New Roman" w:hAnsi="Times New Roman"/>
            <w:b w:val="false"/>
            <w:i w:val="false"/>
            <w:color w:val="000000"/>
            <w:sz w:val="22"/>
          </w:rPr>
          <w:t>533.204</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25.15(9)</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8/5/88, Notice 5/18/88—published 8/24/88, effective 9/30/88]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9.25.1.pdf" Type="http://schemas.openxmlformats.org/officeDocument/2006/relationships/hyperlink" Id="rId5"/>
    <Relationship TargetMode="External" Target="https://www.legis.iowa.gov/docs/ico/chapter/533.106.pdf" Type="http://schemas.openxmlformats.org/officeDocument/2006/relationships/hyperlink" Id="rId6"/>
    <Relationship TargetMode="External" Target="https://www.legis.iowa.gov/docs/iac/rule/189.25.1.pdf" Type="http://schemas.openxmlformats.org/officeDocument/2006/relationships/hyperlink" Id="rId7"/>
    <Relationship TargetMode="External" Target="https://www.legis.iowa.gov/docs/iac/rule/189.25.13.pdf" Type="http://schemas.openxmlformats.org/officeDocument/2006/relationships/hyperlink" Id="rId8"/>
    <Relationship TargetMode="External" Target="https://www.legis.iowa.gov/docs/iac/rule/189.25.15.pdf" Type="http://schemas.openxmlformats.org/officeDocument/2006/relationships/hyperlink" Id="rId9"/>
    <Relationship TargetMode="External" Target="https://www.legis.iowa.gov/docs/iac/rule/189.25.15.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1.3.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533.330.pdf" Type="http://schemas.openxmlformats.org/officeDocument/2006/relationships/hyperlink" Id="rId15"/>
    <Relationship TargetMode="External" Target="https://www.legis.iowa.gov/docs/ico/chapter/533.204.pdf" Type="http://schemas.openxmlformats.org/officeDocument/2006/relationships/hyperlink" Id="rId16"/>
    <Relationship TargetMode="External" Target="https://www.legis.iowa.gov/docs/ico/chapter/22.1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