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INVESTMENT AND DEPOSIT ACTIVITIES FOR CREDIT UNIONS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189—17.1</w:t>
      </w:r>
      <w:r>
        <w:rPr>
          <w:rFonts w:ascii="Times New Roman" w:hAnsi="Times New Roman"/>
          <w:b/>
          <w:i w:val="false"/>
          <w:color w:val="000000"/>
          <w:sz w:val="22"/>
        </w:rPr>
        <w:t xml:space="preserve">(533) </w:t>
      </w:r>
      <w:r>
        <w:rPr>
          <w:rFonts w:ascii="Times New Roman" w:hAnsi="Times New Roman"/>
          <w:b/>
          <w:i w:val="false"/>
          <w:color w:val="000000"/>
          <w:sz w:val="22"/>
        </w:rPr>
        <w:t xml:space="preserve">Authority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implement the authority of credit unions organized in accordance with Iowa Code chapter </w:t>
      </w:r>
      <w:hyperlink r:id="rId5">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to engage in investment and deposit activities which would be permitted if the credit union were federally chartered in accordance with Iowa Code sections </w:t>
      </w:r>
      <w:hyperlink r:id="rId6">
        <w:r>
          <w:rPr>
            <w:rStyle w:val="Hyperlink"/>
            <w:rFonts w:ascii="Times New Roman" w:hAnsi="Times New Roman"/>
            <w:b w:val="false"/>
            <w:i w:val="false"/>
            <w:color w:val="000000"/>
            <w:sz w:val="22"/>
          </w:rPr>
          <w:t>533.301(5)</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533.301(25)</w:t>
        </w:r>
      </w:hyperlink>
      <w:r>
        <w:rPr>
          <w:rFonts w:ascii="Times New Roman" w:hAnsi="Times New Roman"/>
          <w:b w:val="false"/>
          <w:i w:val="false"/>
          <w:color w:val="000000"/>
          <w:sz w:val="22"/>
        </w:rPr>
        <w:t xml:space="preserve">, and are promulgated under the authority of Iowa Code section </w:t>
      </w:r>
      <w:hyperlink r:id="rId8">
        <w:r>
          <w:rPr>
            <w:rStyle w:val="Hyperlink"/>
            <w:rFonts w:ascii="Times New Roman" w:hAnsi="Times New Roman"/>
            <w:b w:val="false"/>
            <w:i w:val="false"/>
            <w:color w:val="000000"/>
            <w:sz w:val="22"/>
          </w:rPr>
          <w:t>533.104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identify certain investments and deposit activities permissible under the Federal Credit Union Act, 12 U.S.C. Section 1757, and National Credit Union Administration (NCUA) rules and regulations, 12 CFR Part 703, and prescribe the rules governing those investments and deposit activities on the basis of safety and soundness concerns. Additionally, these rules identify and prohibit certain investments and deposit activities, which may or may not be permitted for federal credit unions and which are considered inconsistent with state law or unsafe or unsound investment for Iowa state-chartered credit unions. Finally, these rules address investment authority granted to Iowa state-chartered credit unions in Iowa Code chapter </w:t>
      </w:r>
      <w:hyperlink r:id="rId9">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which may or may not be permitted for federal credit unions.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w:t>
      </w:r>
      <w:r>
        <w:rPr>
          <w:rFonts w:ascii="Times New Roman" w:hAnsi="Times New Roman"/>
          <w:b w:val="false"/>
          <w:i w:val="false"/>
          <w:color w:val="000000"/>
          <w:sz w:val="22"/>
        </w:rPr>
        <w:t> </w:t>
      </w:r>
      <w:r>
        <w:rPr>
          <w:rFonts w:ascii="Times New Roman" w:hAnsi="Times New Roman"/>
          <w:b w:val="false"/>
          <w:i w:val="false"/>
          <w:color w:val="000000"/>
          <w:sz w:val="22"/>
        </w:rPr>
        <w:t>Exceptions. These rules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Investment in loans to members and other activities pursuant to Iowa Code sections </w:t>
      </w:r>
      <w:hyperlink r:id="rId10">
        <w:r>
          <w:rPr>
            <w:rStyle w:val="Hyperlink"/>
            <w:rFonts w:ascii="Times New Roman" w:hAnsi="Times New Roman"/>
            <w:b w:val="false"/>
            <w:i w:val="false"/>
            <w:color w:val="000000"/>
            <w:sz w:val="22"/>
          </w:rPr>
          <w:t>533.301(2)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533.301(3)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533.301(15)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533.301(16)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Investment in real estate-secured loans to members pursuant to Iowa Code section </w:t>
      </w:r>
      <w:hyperlink r:id="rId14">
        <w:r>
          <w:rPr>
            <w:rStyle w:val="Hyperlink"/>
            <w:rFonts w:ascii="Times New Roman" w:hAnsi="Times New Roman"/>
            <w:b w:val="false"/>
            <w:i w:val="false"/>
            <w:color w:val="000000"/>
            <w:sz w:val="22"/>
          </w:rPr>
          <w:t>533.315(4)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Investment in credit union service organizations pursuant to Iowa Code section </w:t>
      </w:r>
      <w:hyperlink r:id="rId15">
        <w:r>
          <w:rPr>
            <w:rStyle w:val="Hyperlink"/>
            <w:rFonts w:ascii="Times New Roman" w:hAnsi="Times New Roman"/>
            <w:b w:val="false"/>
            <w:i w:val="false"/>
            <w:color w:val="000000"/>
            <w:sz w:val="22"/>
          </w:rPr>
          <w:t>533.301(5)</w:t>
        </w:r>
      </w:hyperlink>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Investment in fixed assets pursuant to Iowa Code section </w:t>
      </w:r>
      <w:hyperlink r:id="rId16">
        <w:r>
          <w:rPr>
            <w:rStyle w:val="Hyperlink"/>
            <w:rFonts w:ascii="Times New Roman" w:hAnsi="Times New Roman"/>
            <w:b w:val="false"/>
            <w:i w:val="false"/>
            <w:color w:val="000000"/>
            <w:sz w:val="22"/>
          </w:rPr>
          <w:t>533.301(10)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189—17.2</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 of terms included in Iowa Code section </w:t>
      </w:r>
      <w:hyperlink r:id="rId17">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189—1.1</w:t>
        </w:r>
      </w:hyperlink>
      <w:r>
        <w:rPr>
          <w:rFonts w:ascii="Times New Roman" w:hAnsi="Times New Roman"/>
          <w:b w:val="false"/>
          <w:i w:val="false"/>
          <w:color w:val="000000"/>
          <w:sz w:val="22"/>
        </w:rPr>
        <w:t>(533) applies to such terms used in this chapter unless otherwise provided in this rule. In addition, the following definitions apply 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“Adjusted trading” </w:t>
      </w:r>
      <w:r>
        <w:rPr>
          <w:rFonts w:ascii="Times New Roman" w:hAnsi="Times New Roman"/>
          <w:b w:val="false"/>
          <w:i w:val="false"/>
          <w:color w:val="000000"/>
          <w:sz w:val="22"/>
        </w:rPr>
        <w:t>means selling an investment to a counterparty at a price above its current fair value and simultaneously purchasing or committing to purchase from the counterparty another investment at a price above its current fair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“Associated personnel” </w:t>
      </w:r>
      <w:r>
        <w:rPr>
          <w:rFonts w:ascii="Times New Roman" w:hAnsi="Times New Roman"/>
          <w:b w:val="false"/>
          <w:i w:val="false"/>
          <w:color w:val="000000"/>
          <w:sz w:val="22"/>
        </w:rPr>
        <w:t>means a person engaged in the investment banking or securities business who is directly or indirectly controlled by a National Association of Securities Dealers (NASD) member, whether or not the person is registered or exempt from registration with NASD. “Associated personnel” includes every sole proprietor, partner, officer, director, or branch manager of any NASD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“Banker’s acceptance” </w:t>
      </w:r>
      <w:r>
        <w:rPr>
          <w:rFonts w:ascii="Times New Roman" w:hAnsi="Times New Roman"/>
          <w:b w:val="false"/>
          <w:i w:val="false"/>
          <w:color w:val="000000"/>
          <w:sz w:val="22"/>
        </w:rPr>
        <w:t>means a time draft that is drawn on and accepted by a bank and that represents an irrevocable obligation of the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 note” </w:t>
      </w:r>
      <w:r>
        <w:rPr>
          <w:rFonts w:ascii="Times New Roman" w:hAnsi="Times New Roman"/>
          <w:b w:val="false"/>
          <w:i w:val="false"/>
          <w:color w:val="000000"/>
          <w:sz w:val="22"/>
        </w:rPr>
        <w:t>means a direct, unconditional, and unsecured general obligation of a bank that ranks equally with all other senior unsecured indebtedness of the bank, except deposit liabilities and other obligations that are subject to any priorities or preferences.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“Borrowing repurchase transaction” </w:t>
      </w:r>
      <w:r>
        <w:rPr>
          <w:rFonts w:ascii="Times New Roman" w:hAnsi="Times New Roman"/>
          <w:b w:val="false"/>
          <w:i w:val="false"/>
          <w:color w:val="000000"/>
          <w:sz w:val="22"/>
        </w:rPr>
        <w:t>means a transaction in which the credit union agrees to sell a security to a counterparty and to repurchase the same or an identical security from that counterparty at a specified future date and at a specified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“Call” </w:t>
      </w:r>
      <w:r>
        <w:rPr>
          <w:rFonts w:ascii="Times New Roman" w:hAnsi="Times New Roman"/>
          <w:b w:val="false"/>
          <w:i w:val="false"/>
          <w:color w:val="000000"/>
          <w:sz w:val="22"/>
        </w:rPr>
        <w:t>means an option that gives the holder the right to buy a specified quantity of a security at a specified price during a fixed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“Collateralized mortgage obligation” </w:t>
      </w:r>
      <w:r>
        <w:rPr>
          <w:rFonts w:ascii="Times New Roman" w:hAnsi="Times New Roman"/>
          <w:b w:val="false"/>
          <w:i w:val="false"/>
          <w:color w:val="000000"/>
          <w:sz w:val="22"/>
        </w:rPr>
        <w:t>means a multiclass mortgage-related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“Collective investment fund” </w:t>
      </w:r>
      <w:r>
        <w:rPr>
          <w:rFonts w:ascii="Times New Roman" w:hAnsi="Times New Roman"/>
          <w:b w:val="false"/>
          <w:i w:val="false"/>
          <w:color w:val="000000"/>
          <w:sz w:val="22"/>
        </w:rPr>
        <w:t>means a fund maintained by a national bank under Comptroller of the Currency regulations, 12 CFR Part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mortgage-related security” </w:t>
      </w:r>
      <w:r>
        <w:rPr>
          <w:rFonts w:ascii="Times New Roman" w:hAnsi="Times New Roman"/>
          <w:b w:val="false"/>
          <w:i w:val="false"/>
          <w:color w:val="000000"/>
          <w:sz w:val="22"/>
        </w:rPr>
        <w:t>means a mortgage-related security, as defined in this rule, except that it is collateralized entirely by commercial real estate, such as a warehouse or office building, or a multifamily dwelling consisting of more than four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paper” </w:t>
      </w:r>
      <w:r>
        <w:rPr>
          <w:rFonts w:ascii="Times New Roman" w:hAnsi="Times New Roman"/>
          <w:b w:val="false"/>
          <w:i w:val="false"/>
          <w:color w:val="000000"/>
          <w:sz w:val="22"/>
        </w:rPr>
        <w:t>means a debt obligation of a United States-chartered corporation with a maturity date of 270 days or less, which may be interest-bearing or discount-purchased.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“Corporate bonds” </w:t>
      </w:r>
      <w:r>
        <w:rPr>
          <w:rFonts w:ascii="Times New Roman" w:hAnsi="Times New Roman"/>
          <w:b w:val="false"/>
          <w:i w:val="false"/>
          <w:color w:val="000000"/>
          <w:sz w:val="22"/>
        </w:rPr>
        <w:t>means a debt obligation of a United States-chartered corporation with a maturity date greater than 270 days, which may be interest-bearing or discount-purchased.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“Counterparty” </w:t>
      </w:r>
      <w:r>
        <w:rPr>
          <w:rFonts w:ascii="Times New Roman" w:hAnsi="Times New Roman"/>
          <w:b w:val="false"/>
          <w:i w:val="false"/>
          <w:color w:val="000000"/>
          <w:sz w:val="22"/>
        </w:rPr>
        <w:t>means the party on the other side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“Custodial agreement” </w:t>
      </w:r>
      <w:r>
        <w:rPr>
          <w:rFonts w:ascii="Times New Roman" w:hAnsi="Times New Roman"/>
          <w:b w:val="false"/>
          <w:i w:val="false"/>
          <w:color w:val="000000"/>
          <w:sz w:val="22"/>
        </w:rPr>
        <w:t>means a contract in which one party agrees to hold securities in safekeeping for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“Delivery versus payment” </w:t>
      </w:r>
      <w:r>
        <w:rPr>
          <w:rFonts w:ascii="Times New Roman" w:hAnsi="Times New Roman"/>
          <w:b w:val="false"/>
          <w:i w:val="false"/>
          <w:color w:val="000000"/>
          <w:sz w:val="22"/>
        </w:rPr>
        <w:t>means payment for an investment must occur simultaneously with its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 note” </w:t>
      </w:r>
      <w:r>
        <w:rPr>
          <w:rFonts w:ascii="Times New Roman" w:hAnsi="Times New Roman"/>
          <w:b w:val="false"/>
          <w:i w:val="false"/>
          <w:color w:val="000000"/>
          <w:sz w:val="22"/>
        </w:rPr>
        <w:t>means an obligation of a bank that is similar to a certificate of deposit but is 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“Derivatives” </w:t>
      </w:r>
      <w:r>
        <w:rPr>
          <w:rFonts w:ascii="Times New Roman" w:hAnsi="Times New Roman"/>
          <w:b w:val="false"/>
          <w:i w:val="false"/>
          <w:color w:val="000000"/>
          <w:sz w:val="22"/>
        </w:rPr>
        <w:t>means any derivative instrument, as defined under generally accepted accounting principles (GAAP).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“Embedded option” </w:t>
      </w:r>
      <w:r>
        <w:rPr>
          <w:rFonts w:ascii="Times New Roman" w:hAnsi="Times New Roman"/>
          <w:b w:val="false"/>
          <w:i w:val="false"/>
          <w:color w:val="000000"/>
          <w:sz w:val="22"/>
        </w:rPr>
        <w:t>means a characteristic of an investment that gives the issuer or holder the right to alter the level and timing of the cash flows of the investment. Embedded options include call and put provisions and interest rate caps and floors. Since a prepayment option in a mortgage is a type of call provision, a mortgage-backed security composed of mortgages that may be prepaid is an example of an investment with an embedded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“Eurodollar deposit” </w:t>
      </w:r>
      <w:r>
        <w:rPr>
          <w:rFonts w:ascii="Times New Roman" w:hAnsi="Times New Roman"/>
          <w:b w:val="false"/>
          <w:i w:val="false"/>
          <w:color w:val="000000"/>
          <w:sz w:val="22"/>
        </w:rPr>
        <w:t>means a U.S. dollar-denominated deposit in a foreign branch of a United States depository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“European financial options contract” </w:t>
      </w:r>
      <w:r>
        <w:rPr>
          <w:rFonts w:ascii="Times New Roman" w:hAnsi="Times New Roman"/>
          <w:b w:val="false"/>
          <w:i w:val="false"/>
          <w:color w:val="000000"/>
          <w:sz w:val="22"/>
        </w:rPr>
        <w:t>means an option that can be exercised only on its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“Exchangeable collateralized mortgage obligation” </w:t>
      </w:r>
      <w:r>
        <w:rPr>
          <w:rFonts w:ascii="Times New Roman" w:hAnsi="Times New Roman"/>
          <w:b w:val="false"/>
          <w:i w:val="false"/>
          <w:color w:val="000000"/>
          <w:sz w:val="22"/>
        </w:rPr>
        <w:t>means a class of a collateralized mortgage obligation (CMO) that, at the time of purchase, represents beneficial ownership interests in a combination of two or more underlying classes of the same CMO structure. The holder of an exchangeable CMO may pay a fee and take delivery of the underlying classes of the CMO.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value” </w:t>
      </w:r>
      <w:r>
        <w:rPr>
          <w:rFonts w:ascii="Times New Roman" w:hAnsi="Times New Roman"/>
          <w:b w:val="false"/>
          <w:i w:val="false"/>
          <w:color w:val="000000"/>
          <w:sz w:val="22"/>
        </w:rPr>
        <w:t>means the amount at which an instrument could be exchanged in a current, arm’s-length transaction between willing parties, as opposed to a forced or liquidation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options contract” </w:t>
      </w:r>
      <w:r>
        <w:rPr>
          <w:rFonts w:ascii="Times New Roman" w:hAnsi="Times New Roman"/>
          <w:b w:val="false"/>
          <w:i w:val="false"/>
          <w:color w:val="000000"/>
          <w:sz w:val="22"/>
        </w:rPr>
        <w:t>means an agreement to make or take delivery of a standardized financial instrument upon demand by the holder of the contract as specified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member” </w:t>
      </w:r>
      <w:r>
        <w:rPr>
          <w:rFonts w:ascii="Times New Roman" w:hAnsi="Times New Roman"/>
          <w:b w:val="false"/>
          <w:i w:val="false"/>
          <w:color w:val="000000"/>
          <w:sz w:val="22"/>
        </w:rPr>
        <w:t>means a spouse or other family member living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“Industry-recognized information provider” </w:t>
      </w:r>
      <w:r>
        <w:rPr>
          <w:rFonts w:ascii="Times New Roman" w:hAnsi="Times New Roman"/>
          <w:b w:val="false"/>
          <w:i w:val="false"/>
          <w:color w:val="000000"/>
          <w:sz w:val="22"/>
        </w:rPr>
        <w:t>means an organization that obtains compensation by providing information to investors and receives no compensation for the purchase or sale of investments.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w:t>
      </w:r>
      <w:r>
        <w:rPr>
          <w:rFonts w:ascii="Times New Roman" w:hAnsi="Times New Roman"/>
          <w:b w:val="false"/>
          <w:i w:val="false"/>
          <w:color w:val="000000"/>
          <w:sz w:val="22"/>
        </w:rPr>
        <w:t xml:space="preserve">means any security, obligation, account, deposit, or other item authorized for purchase by a federal credit union under the Federal Credit Union Act, 12 U.S.C. Section 1757(7), 1757(8), or 1757(15), or NCUA rules and regulations, 12 CFR Part 703, other than loans to members and the exceptions specified in </w:t>
      </w:r>
      <w:hyperlink r:id="rId19">
        <w:r>
          <w:rPr>
            <w:rStyle w:val="Hyperlink"/>
            <w:rFonts w:ascii="Times New Roman" w:hAnsi="Times New Roman"/>
            <w:b w:val="false"/>
            <w:i w:val="false"/>
            <w:color w:val="000000"/>
            <w:sz w:val="22"/>
          </w:rPr>
          <w:t>189—subrule 17.1(3)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grade” </w:t>
      </w:r>
      <w:r>
        <w:rPr>
          <w:rFonts w:ascii="Times New Roman" w:hAnsi="Times New Roman"/>
          <w:b w:val="false"/>
          <w:i w:val="false"/>
          <w:color w:val="000000"/>
          <w:sz w:val="22"/>
        </w:rPr>
        <w:t>means the issuer of a security has an adequate capacity to meet the financial commitments under the security for the projected life of the asset or exposure, even under adverse economic conditions. An issuer has an adequate capacity to meet financial commitments if the risk of default by the obligor is low and the full and timely repayment of principal and interest on the security is expected. A credit union may consider any or all of the following factors, to the extent appropriate, with respect to the credit risk of a security: credit spreads; securities-related research; internal or external credit risk assessments; default statistics; inclusion on an index; priorities and enhancements; price, yield, and/or volume; and asset class-specific factors. This list of factors is not meant to be exhaustive or mutually exclusive.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portfolio” </w:t>
      </w:r>
      <w:r>
        <w:rPr>
          <w:rFonts w:ascii="Times New Roman" w:hAnsi="Times New Roman"/>
          <w:b w:val="false"/>
          <w:i w:val="false"/>
          <w:color w:val="000000"/>
          <w:sz w:val="22"/>
        </w:rPr>
        <w:t xml:space="preserve">means the amount invested by a credit union pursuant to Iowa Code sections </w:t>
      </w:r>
      <w:hyperlink r:id="rId20">
        <w:r>
          <w:rPr>
            <w:rStyle w:val="Hyperlink"/>
            <w:rFonts w:ascii="Times New Roman" w:hAnsi="Times New Roman"/>
            <w:b w:val="false"/>
            <w:i w:val="false"/>
            <w:color w:val="000000"/>
            <w:sz w:val="22"/>
          </w:rPr>
          <w:t>533.301(5)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533.301(25)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533.304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533.305</w:t>
        </w:r>
      </w:hyperlink>
      <w:r>
        <w:rPr>
          <w:rFonts w:ascii="Times New Roman" w:hAnsi="Times New Roman"/>
          <w:b w:val="false"/>
          <w:i w:val="false"/>
          <w:color w:val="000000"/>
          <w:sz w:val="22"/>
        </w:rPr>
        <w:t>, excluding any investment in nonearning assets such as real estate, premises and equipment, the capitalization deposit in the National Credit Union Share Insurance Fund (NCUSIF), and any other investment which does not generate a regular dividend or interest or receive or accrue added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repurchase transaction” </w:t>
      </w:r>
      <w:r>
        <w:rPr>
          <w:rFonts w:ascii="Times New Roman" w:hAnsi="Times New Roman"/>
          <w:b w:val="false"/>
          <w:i w:val="false"/>
          <w:color w:val="000000"/>
          <w:sz w:val="22"/>
        </w:rPr>
        <w:t>means a transaction in which an investor agrees to purchase a security from a counterparty and to resell the same or an identical security to that counterparty at a specified future date and at a specified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“Maturity” </w:t>
      </w:r>
      <w:r>
        <w:rPr>
          <w:rFonts w:ascii="Times New Roman" w:hAnsi="Times New Roman"/>
          <w:b w:val="false"/>
          <w:i w:val="false"/>
          <w:color w:val="000000"/>
          <w:sz w:val="22"/>
        </w:rPr>
        <w:t>means the date the last principal amount of a security is scheduled to come due and does not mean the call date or the weighted average life of a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“Mortgage-related security” </w:t>
      </w:r>
      <w:r>
        <w:rPr>
          <w:rFonts w:ascii="Times New Roman" w:hAnsi="Times New Roman"/>
          <w:b w:val="false"/>
          <w:i w:val="false"/>
          <w:color w:val="000000"/>
          <w:sz w:val="22"/>
        </w:rPr>
        <w:t>means a security as defined in Section 3(a)(41) of the Securities Exchange Act of 1934 (15 U.S.C. 78c(a)(41)).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“Mortgage servicing rights” </w:t>
      </w:r>
      <w:r>
        <w:rPr>
          <w:rFonts w:ascii="Times New Roman" w:hAnsi="Times New Roman"/>
          <w:b w:val="false"/>
          <w:i w:val="false"/>
          <w:color w:val="000000"/>
          <w:sz w:val="22"/>
        </w:rPr>
        <w:t>means a contractual obligation to perform mortgage servicing and the right to receive compensation for performing those services. Mortgage servicing is the administration of a mortgage loan, including collecting monthly payments and fees, providing record-keeping and escrow functions, and, if necessary, curing defaults and foreclosing.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“Negotiable instrument” </w:t>
      </w:r>
      <w:r>
        <w:rPr>
          <w:rFonts w:ascii="Times New Roman" w:hAnsi="Times New Roman"/>
          <w:b w:val="false"/>
          <w:i w:val="false"/>
          <w:color w:val="000000"/>
          <w:sz w:val="22"/>
        </w:rPr>
        <w:t>means an instrument that may be freely transferred from the purchaser to another person or entity by delivery, or endorsement and delivery, with full legal title becoming vested in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worth” </w:t>
      </w:r>
      <w:r>
        <w:rPr>
          <w:rFonts w:ascii="Times New Roman" w:hAnsi="Times New Roman"/>
          <w:b w:val="false"/>
          <w:i w:val="false"/>
          <w:color w:val="000000"/>
          <w:sz w:val="22"/>
        </w:rPr>
        <w:t>means the retained earnings balance of the credit union at quarter end as determined under generally accepted accounting principles and as further defined in NCUA rules and regulations, 12 CFR Part 702.2(f).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w:t>
      </w:r>
      <w:r>
        <w:rPr>
          <w:rFonts w:ascii="Times New Roman" w:hAnsi="Times New Roman"/>
          <w:b w:val="false"/>
          <w:i w:val="false"/>
          <w:color w:val="000000"/>
          <w:sz w:val="22"/>
        </w:rPr>
        <w:t>means any member of a credit union’s board of directors, credit committee, auditing/supervisory committee, or investment-related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“Ordinary care” </w:t>
      </w:r>
      <w:r>
        <w:rPr>
          <w:rFonts w:ascii="Times New Roman" w:hAnsi="Times New Roman"/>
          <w:b w:val="false"/>
          <w:i w:val="false"/>
          <w:color w:val="000000"/>
          <w:sz w:val="22"/>
        </w:rPr>
        <w:t>means the degree of care that an ordinarily prudent and competent person engaged in the same line of business or endeavor should exercise under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“Pair-off transaction” </w:t>
      </w:r>
      <w:r>
        <w:rPr>
          <w:rFonts w:ascii="Times New Roman" w:hAnsi="Times New Roman"/>
          <w:b w:val="false"/>
          <w:i w:val="false"/>
          <w:color w:val="000000"/>
          <w:sz w:val="22"/>
        </w:rPr>
        <w:t>means an investment purchase transaction that is closed or sold on or before the settlement date. In a pair-off transaction, an investor commits to purchase an investment, but then pairs off the purchase with a sale of the same investment on or before the settlement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“Put” </w:t>
      </w:r>
      <w:r>
        <w:rPr>
          <w:rFonts w:ascii="Times New Roman" w:hAnsi="Times New Roman"/>
          <w:b w:val="false"/>
          <w:i w:val="false"/>
          <w:color w:val="000000"/>
          <w:sz w:val="22"/>
        </w:rPr>
        <w:t>means an option that gives the holder the right to sell a specified quantity of a security at a specified price during a fixed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investment company” </w:t>
      </w:r>
      <w:r>
        <w:rPr>
          <w:rFonts w:ascii="Times New Roman" w:hAnsi="Times New Roman"/>
          <w:b w:val="false"/>
          <w:i w:val="false"/>
          <w:color w:val="000000"/>
          <w:sz w:val="22"/>
        </w:rPr>
        <w:t>means an investment company that is registered with the Securities and Exchange Commission under the Investment Company Act of 1940 (15 U.S.C. 80a). Examples of registered investment companies are mutual funds and unit investment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way settlement” </w:t>
      </w:r>
      <w:r>
        <w:rPr>
          <w:rFonts w:ascii="Times New Roman" w:hAnsi="Times New Roman"/>
          <w:b w:val="false"/>
          <w:i w:val="false"/>
          <w:color w:val="000000"/>
          <w:sz w:val="22"/>
        </w:rPr>
        <w:t>means delivery of a security from a seller to a buyer within the time frame that the securities industry has established for immediate delivery of that type of security. For example, regular way settlement of a Treasury security includes settlement on the trade date (cash), the business day following the trade date (regular way), and the second business day following the trade date (skip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interest” </w:t>
      </w:r>
      <w:r>
        <w:rPr>
          <w:rFonts w:ascii="Times New Roman" w:hAnsi="Times New Roman"/>
          <w:b w:val="false"/>
          <w:i w:val="false"/>
          <w:color w:val="000000"/>
          <w:sz w:val="22"/>
        </w:rPr>
        <w:t>means the remainder cash flows from collateralized mortgage obligations/real estate mortgage investment conduits (CMOs/REMICs), or other mortgage-backed security transaction, after payments due bondholders and trust administrative expenses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“Securities lending” </w:t>
      </w:r>
      <w:r>
        <w:rPr>
          <w:rFonts w:ascii="Times New Roman" w:hAnsi="Times New Roman"/>
          <w:b w:val="false"/>
          <w:i w:val="false"/>
          <w:color w:val="000000"/>
          <w:sz w:val="22"/>
        </w:rPr>
        <w:t>means lending a security to a counterparty, either directly or through an agent, and accepting collateral in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means a share, participation, or other interest in property or in an enterprise of the issuer or an obligation of the issuer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is represented by an instrument issued in bearer or registered form or, if not represented by an instrument, is registered in books maintained to record transfers by or on behalf of the issuer;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of a type commonly dealt in on securities exchanges or markets or, when represented by an instrument, is commonly recognized in any area in which it is issued or dealt in as a medium for investment;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Either is one of a class or series or by its terms is divisible into a class or series of shares, participations, interests, or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“Senior management employee” </w:t>
      </w:r>
      <w:r>
        <w:rPr>
          <w:rFonts w:ascii="Times New Roman" w:hAnsi="Times New Roman"/>
          <w:b w:val="false"/>
          <w:i w:val="false"/>
          <w:color w:val="000000"/>
          <w:sz w:val="22"/>
        </w:rPr>
        <w:t>means a credit union’s chief executive officer (typically this individual holds the title of president or manager), an assistant chief executive officer, and the chief financial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business-related security” </w:t>
      </w:r>
      <w:r>
        <w:rPr>
          <w:rFonts w:ascii="Times New Roman" w:hAnsi="Times New Roman"/>
          <w:b w:val="false"/>
          <w:i w:val="false"/>
          <w:color w:val="000000"/>
          <w:sz w:val="22"/>
        </w:rPr>
        <w:t>means a security as defined in Section 3(a)(53) of the Securities Exchange Act of 1934 (15 U.S.C. 78c(a)(53)). This definition does not include Small Business Administration securities permissible under the Federal Credit Union Act, 12 U.S.C. Section 1757(7).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 xml:space="preserve">means the superintendent of credit unions appointed by the governor to direct and regulate credit unions pursuant to Iowa Code chapter </w:t>
      </w:r>
      <w:hyperlink r:id="rId24">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“Weighted average life” </w:t>
      </w:r>
      <w:r>
        <w:rPr>
          <w:rFonts w:ascii="Times New Roman" w:hAnsi="Times New Roman"/>
          <w:b w:val="false"/>
          <w:i w:val="false"/>
          <w:color w:val="000000"/>
          <w:sz w:val="22"/>
        </w:rPr>
        <w:t>means the weighted average time to the return of a dollar of principal, calculated by multiplying each portion of principal received by the time at which it is expected to be received (based on a reasonable and supportable estimate of that time) and then summing and dividing by the total amount of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“When-issued trading of securities” </w:t>
      </w:r>
      <w:r>
        <w:rPr>
          <w:rFonts w:ascii="Times New Roman" w:hAnsi="Times New Roman"/>
          <w:b w:val="false"/>
          <w:i w:val="false"/>
          <w:color w:val="000000"/>
          <w:sz w:val="22"/>
        </w:rPr>
        <w:t>means the buying and selling of securities in the period between the announcement of an offering and the issuance and payment date of the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“Yankee dollar deposit” </w:t>
      </w:r>
      <w:r>
        <w:rPr>
          <w:rFonts w:ascii="Times New Roman" w:hAnsi="Times New Roman"/>
          <w:b w:val="false"/>
          <w:i w:val="false"/>
          <w:color w:val="000000"/>
          <w:sz w:val="22"/>
        </w:rPr>
        <w:t>means a deposit in a United States branch of a foreign bank licensed to do business in the state in which it is located, or a deposit in a state-chartered, foreign-controlled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“Zero coupon investment” </w:t>
      </w:r>
      <w:r>
        <w:rPr>
          <w:rFonts w:ascii="Times New Roman" w:hAnsi="Times New Roman"/>
          <w:b w:val="false"/>
          <w:i w:val="false"/>
          <w:color w:val="000000"/>
          <w:sz w:val="22"/>
        </w:rPr>
        <w:t>means an investment that makes no periodic interest payments but instead is sold at a discount from its face value. The holder of a zero coupon investment realizes the rate of return through the gradual appreciation of the investment, which is redeemed at face value on a specified maturity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1678C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189—17.3</w:t>
      </w:r>
      <w:r>
        <w:rPr>
          <w:rFonts w:ascii="Times New Roman" w:hAnsi="Times New Roman"/>
          <w:b/>
          <w:i w:val="false"/>
          <w:color w:val="000000"/>
          <w:sz w:val="22"/>
        </w:rPr>
        <w:t xml:space="preserve">(533) </w:t>
      </w:r>
      <w:r>
        <w:rPr>
          <w:rFonts w:ascii="Times New Roman" w:hAnsi="Times New Roman"/>
          <w:b/>
          <w:i w:val="false"/>
          <w:color w:val="000000"/>
          <w:sz w:val="22"/>
        </w:rPr>
        <w:t xml:space="preserve">Investment policies. </w:t>
      </w:r>
      <w:r>
        <w:rPr>
          <w:rFonts w:ascii="Times New Roman" w:hAnsi="Times New Roman"/>
          <w:b w:val="false"/>
          <w:i w:val="false"/>
          <w:color w:val="000000"/>
          <w:sz w:val="22"/>
        </w:rPr>
        <w:t xml:space="preserve">A state-chartered credit union’s board of directors must establish written investment policies consistent with Iowa Code chapter </w:t>
      </w:r>
      <w:hyperlink r:id="rId25">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the Federal Credit Union Act, these rules, and other applicable laws and regulations and must review the policies at least annually. These policies may be part of a broader, asset-liability management policy. Written investment policies must address,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The purposes and objectives of the credit union’s investment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The characteristics of the investments the credit union may make, including the issuer, maturity, index, cap, floor, coupon rate, coupon formula, call provision, average life, and interest rate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How the credit union will manage interest rate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How the credit union will manage liquidity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w:t>
      </w:r>
      <w:r>
        <w:rPr>
          <w:rFonts w:ascii="Times New Roman" w:hAnsi="Times New Roman"/>
          <w:b w:val="false"/>
          <w:i w:val="false"/>
          <w:color w:val="000000"/>
          <w:sz w:val="22"/>
        </w:rPr>
        <w:t> </w:t>
      </w:r>
      <w:r>
        <w:rPr>
          <w:rFonts w:ascii="Times New Roman" w:hAnsi="Times New Roman"/>
          <w:b w:val="false"/>
          <w:i w:val="false"/>
          <w:color w:val="000000"/>
          <w:sz w:val="22"/>
        </w:rPr>
        <w:t>How the credit union will manage credit risk including specifically listing institutions, issuers, and counterparties that may be used, or criteria for the credit union’s selection, and limits on the amounts that may be invested with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17.3(6)</w:t>
      </w:r>
      <w:r>
        <w:rPr>
          <w:rFonts w:ascii="Times New Roman" w:hAnsi="Times New Roman"/>
          <w:b w:val="false"/>
          <w:i w:val="false"/>
          <w:color w:val="000000"/>
          <w:sz w:val="22"/>
        </w:rPr>
        <w:t> </w:t>
      </w:r>
      <w:r>
        <w:rPr>
          <w:rFonts w:ascii="Times New Roman" w:hAnsi="Times New Roman"/>
          <w:b w:val="false"/>
          <w:i w:val="false"/>
          <w:color w:val="000000"/>
          <w:sz w:val="22"/>
        </w:rPr>
        <w:t>How the credit union will manage concentration risk, which can result from dealing with a single issuer or related issuers, lack of geographic distribution, holding obligations with similar characteristics like maturities and indexes, holding bonds having the same trustee, and holding securitized loans having the same originator, packager, or guarantor;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17.3(7)</w:t>
      </w:r>
      <w:r>
        <w:rPr>
          <w:rFonts w:ascii="Times New Roman" w:hAnsi="Times New Roman"/>
          <w:b w:val="false"/>
          <w:i w:val="false"/>
          <w:color w:val="000000"/>
          <w:sz w:val="22"/>
        </w:rPr>
        <w:t> </w:t>
      </w:r>
      <w:r>
        <w:rPr>
          <w:rFonts w:ascii="Times New Roman" w:hAnsi="Times New Roman"/>
          <w:b w:val="false"/>
          <w:i w:val="false"/>
          <w:color w:val="000000"/>
          <w:sz w:val="22"/>
        </w:rPr>
        <w:t>Who has investment authority and the extent of that authority. Those with authority must be qualified by education or experience to assess the risk characteristics of investments and investment transactions. Only officials or employees of the credit union may be voting members of an investment-related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17.3(8)</w:t>
      </w:r>
      <w:r>
        <w:rPr>
          <w:rFonts w:ascii="Times New Roman" w:hAnsi="Times New Roman"/>
          <w:b w:val="false"/>
          <w:i w:val="false"/>
          <w:color w:val="000000"/>
          <w:sz w:val="22"/>
        </w:rPr>
        <w:t> </w:t>
      </w:r>
      <w:r>
        <w:rPr>
          <w:rFonts w:ascii="Times New Roman" w:hAnsi="Times New Roman"/>
          <w:b w:val="false"/>
          <w:i w:val="false"/>
          <w:color w:val="000000"/>
          <w:sz w:val="22"/>
        </w:rPr>
        <w:t>The name of the broker-dealer(s) the credit union may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17.3(9)</w:t>
      </w:r>
      <w:r>
        <w:rPr>
          <w:rFonts w:ascii="Times New Roman" w:hAnsi="Times New Roman"/>
          <w:b w:val="false"/>
          <w:i w:val="false"/>
          <w:color w:val="000000"/>
          <w:sz w:val="22"/>
        </w:rPr>
        <w:t> </w:t>
      </w:r>
      <w:r>
        <w:rPr>
          <w:rFonts w:ascii="Times New Roman" w:hAnsi="Times New Roman"/>
          <w:b w:val="false"/>
          <w:i w:val="false"/>
          <w:color w:val="000000"/>
          <w:sz w:val="22"/>
        </w:rPr>
        <w:t>The name of the safekeeper(s) the credit union may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17.3(10)</w:t>
      </w:r>
      <w:r>
        <w:rPr>
          <w:rFonts w:ascii="Times New Roman" w:hAnsi="Times New Roman"/>
          <w:b w:val="false"/>
          <w:i w:val="false"/>
          <w:color w:val="000000"/>
          <w:sz w:val="22"/>
        </w:rPr>
        <w:t> </w:t>
      </w:r>
      <w:r>
        <w:rPr>
          <w:rFonts w:ascii="Times New Roman" w:hAnsi="Times New Roman"/>
          <w:b w:val="false"/>
          <w:i w:val="false"/>
          <w:color w:val="000000"/>
          <w:sz w:val="22"/>
        </w:rPr>
        <w:t>How the credit union will handle an investment that, after purchase, is outside of board policy or fails a requirement of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17.3(11)</w:t>
      </w:r>
      <w:r>
        <w:rPr>
          <w:rFonts w:ascii="Times New Roman" w:hAnsi="Times New Roman"/>
          <w:b w:val="false"/>
          <w:i w:val="false"/>
          <w:color w:val="000000"/>
          <w:sz w:val="22"/>
        </w:rPr>
        <w:t> </w:t>
      </w:r>
      <w:r>
        <w:rPr>
          <w:rFonts w:ascii="Times New Roman" w:hAnsi="Times New Roman"/>
          <w:b w:val="false"/>
          <w:i w:val="false"/>
          <w:color w:val="000000"/>
          <w:sz w:val="22"/>
        </w:rPr>
        <w:t>How the credit union will conduct investment trading activities, if applicable, including addressing: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has purchase and sale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Limits on trading account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Allocation of cash flow to trading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Stop loss or sale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Dollar size limitations of specific types, quantity and maturity to be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Limits on the length of time an investment may be inventoried in a trading account;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Internal controls, including segregation of duties.</w:t>
      </w:r>
    </w:p>
    <w:p>
      <w:pPr>
        <w:spacing w:before="0" w:after="0"/>
        <w:ind w:left="120"/>
        <w:jc w:val="both"/>
      </w:pPr>
      <w:r>
        <w:rPr>
          <w:rFonts w:ascii="Times New Roman" w:hAnsi="Times New Roman"/>
          <w:b/>
          <w:i w:val="false"/>
          <w:color w:val="000000"/>
          <w:sz w:val="22"/>
        </w:rPr>
        <w:t>189—17.4</w:t>
      </w:r>
      <w:r>
        <w:rPr>
          <w:rFonts w:ascii="Times New Roman" w:hAnsi="Times New Roman"/>
          <w:b/>
          <w:i w:val="false"/>
          <w:color w:val="000000"/>
          <w:sz w:val="22"/>
        </w:rPr>
        <w:t xml:space="preserve">(533) </w:t>
      </w:r>
      <w:r>
        <w:rPr>
          <w:rFonts w:ascii="Times New Roman" w:hAnsi="Times New Roman"/>
          <w:b/>
          <w:i w:val="false"/>
          <w:color w:val="000000"/>
          <w:sz w:val="22"/>
        </w:rPr>
        <w:t xml:space="preserve">Record keeping and documentation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State-chartered credit unions with assets of $10 million or greater must comply with generally accepted accounting principles (GAAP) in reports filed with the superintendent and maintained by the credit union. State-chartered credit unions with assets less than $10 million may comply with GAAP or other regulatory accounting principles in reports filed with the superintendent and maintained by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 xml:space="preserve">A credit union must maintain documentation for each investment transaction for as long as it holds the investment and until the documentation has been audited in accordance with Iowa Code section </w:t>
      </w:r>
      <w:hyperlink r:id="rId26">
        <w:r>
          <w:rPr>
            <w:rStyle w:val="Hyperlink"/>
            <w:rFonts w:ascii="Times New Roman" w:hAnsi="Times New Roman"/>
            <w:b w:val="false"/>
            <w:i w:val="false"/>
            <w:color w:val="000000"/>
            <w:sz w:val="22"/>
          </w:rPr>
          <w:t>533.208</w:t>
        </w:r>
      </w:hyperlink>
      <w:r>
        <w:rPr>
          <w:rFonts w:ascii="Times New Roman" w:hAnsi="Times New Roman"/>
          <w:b w:val="false"/>
          <w:i w:val="false"/>
          <w:color w:val="000000"/>
          <w:sz w:val="22"/>
        </w:rPr>
        <w:t xml:space="preserve"> or NCUA rules and regulations, 12 CFR Part 701.12, or both, and examined by the superintendent or the NCUA, or both. The documentation should include, where applicable, bids and prices at purchase and sale and for periodic updates, relevant disclosure documents or a description of the security from an industry-recognized information provider, financial data, and tests and reports required by the credit union’s investment policy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val="false"/>
          <w:color w:val="000000"/>
          <w:sz w:val="22"/>
        </w:rPr>
        <w:t xml:space="preserve">A credit union must maintain documentation that its board of directors used to approve a broker-dealer or a safekeeper for as long as the broker-dealer or safekeeper is approved and until the documentation has been audited in accordance with Iowa Code section </w:t>
      </w:r>
      <w:hyperlink r:id="rId27">
        <w:r>
          <w:rPr>
            <w:rStyle w:val="Hyperlink"/>
            <w:rFonts w:ascii="Times New Roman" w:hAnsi="Times New Roman"/>
            <w:b w:val="false"/>
            <w:i w:val="false"/>
            <w:color w:val="000000"/>
            <w:sz w:val="22"/>
          </w:rPr>
          <w:t>533.208</w:t>
        </w:r>
      </w:hyperlink>
      <w:r>
        <w:rPr>
          <w:rFonts w:ascii="Times New Roman" w:hAnsi="Times New Roman"/>
          <w:b w:val="false"/>
          <w:i w:val="false"/>
          <w:color w:val="000000"/>
          <w:sz w:val="22"/>
        </w:rPr>
        <w:t xml:space="preserve"> or NCUA rules and regulations, 12 CFR Part 701.12, or both, and examined by the superintendent or the NCUA,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w:t>
      </w:r>
      <w:r>
        <w:rPr>
          <w:rFonts w:ascii="Times New Roman" w:hAnsi="Times New Roman"/>
          <w:b w:val="false"/>
          <w:i w:val="false"/>
          <w:color w:val="000000"/>
          <w:sz w:val="22"/>
        </w:rPr>
        <w:t> </w:t>
      </w:r>
      <w:r>
        <w:rPr>
          <w:rFonts w:ascii="Times New Roman" w:hAnsi="Times New Roman"/>
          <w:b w:val="false"/>
          <w:i w:val="false"/>
          <w:color w:val="000000"/>
          <w:sz w:val="22"/>
        </w:rPr>
        <w:t>A credit union must obtain an individual confirmation statement from each broker-dealer for each investment purchased or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189—17.5</w:t>
      </w:r>
      <w:r>
        <w:rPr>
          <w:rFonts w:ascii="Times New Roman" w:hAnsi="Times New Roman"/>
          <w:b/>
          <w:i w:val="false"/>
          <w:color w:val="000000"/>
          <w:sz w:val="22"/>
        </w:rPr>
        <w:t xml:space="preserve">(533) </w:t>
      </w:r>
      <w:r>
        <w:rPr>
          <w:rFonts w:ascii="Times New Roman" w:hAnsi="Times New Roman"/>
          <w:b/>
          <w:i w:val="false"/>
          <w:color w:val="000000"/>
          <w:sz w:val="22"/>
        </w:rPr>
        <w:t xml:space="preserve">Discretionary control over investments and investment advisers.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28">
        <w:r>
          <w:rPr>
            <w:rStyle w:val="Hyperlink"/>
            <w:rFonts w:ascii="Times New Roman" w:hAnsi="Times New Roman"/>
            <w:b w:val="false"/>
            <w:i w:val="false"/>
            <w:color w:val="000000"/>
            <w:sz w:val="22"/>
          </w:rPr>
          <w:t>17.5(2)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17.5(3)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17.5(4)</w:t>
        </w:r>
      </w:hyperlink>
      <w:r>
        <w:rPr>
          <w:rFonts w:ascii="Times New Roman" w:hAnsi="Times New Roman"/>
          <w:b w:val="false"/>
          <w:i w:val="false"/>
          <w:color w:val="000000"/>
          <w:sz w:val="22"/>
        </w:rPr>
        <w:t>, a credit union must retain discretionary control over its purchase and sale of investments. A credit union has not delegated discretionary control to an investment adviser when the credit union reviews all recommendations from investment advisers and is required to authorize a recommended purchase or sale transaction before its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A credit union may delegate discretionary control over the purchase and sale of investments to a person other than a credit union official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Provided the person is an investment adviser registered with the Securities and Exchange Commission under the Investment Advisers Act of 1940 (15 U.S.C. 80b);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Provided the amount of investment authority does not exceed 100 percent of the credit union’s net worth, in the aggregate, at the time of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val="false"/>
          <w:color w:val="000000"/>
          <w:sz w:val="22"/>
        </w:rPr>
        <w:t>At least annually, the credit union must adjust the amount of funds held under discretionary control to comply with the 100 percent of net worth cap. The credit union’s board of directors must receive notice as soon as possible, but no later than the next regularly scheduled monthly board meeting, of the amount exceeding the net worth cap and notify in writing the superintendent within five days after the board meeting. The credit union must develop a plan to comply with the cap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val="false"/>
          <w:color w:val="000000"/>
          <w:sz w:val="22"/>
        </w:rPr>
        <w:t>Before transacting business with an investment adviser, a credit union must analyze the investment adviser’s background and information available from state or federal securities regulators, including any enforcement actions against the adviser, associated personnel, or the firm for which the adviser 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17.5(5)</w:t>
      </w:r>
      <w:r>
        <w:rPr>
          <w:rFonts w:ascii="Times New Roman" w:hAnsi="Times New Roman"/>
          <w:b w:val="false"/>
          <w:i w:val="false"/>
          <w:color w:val="000000"/>
          <w:sz w:val="22"/>
        </w:rPr>
        <w:t> </w:t>
      </w:r>
      <w:r>
        <w:rPr>
          <w:rFonts w:ascii="Times New Roman" w:hAnsi="Times New Roman"/>
          <w:b w:val="false"/>
          <w:i w:val="false"/>
          <w:color w:val="000000"/>
          <w:sz w:val="22"/>
        </w:rPr>
        <w:t>A credit union may not compensate an investment adviser with discretionary control over the purchase and sale of investments on a per-transaction basis or based on capital gains, capital appreciation, net income, performance relative to an index, or any other incentive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17.5(6)</w:t>
      </w:r>
      <w:r>
        <w:rPr>
          <w:rFonts w:ascii="Times New Roman" w:hAnsi="Times New Roman"/>
          <w:b w:val="false"/>
          <w:i w:val="false"/>
          <w:color w:val="000000"/>
          <w:sz w:val="22"/>
        </w:rPr>
        <w:t> </w:t>
      </w:r>
      <w:r>
        <w:rPr>
          <w:rFonts w:ascii="Times New Roman" w:hAnsi="Times New Roman"/>
          <w:b w:val="false"/>
          <w:i w:val="false"/>
          <w:color w:val="000000"/>
          <w:sz w:val="22"/>
        </w:rPr>
        <w:t>A credit union must obtain a report from its investment adviser at least monthly that details the investments under the adviser’s control and the investments’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1678C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189—17.6</w:t>
      </w:r>
      <w:r>
        <w:rPr>
          <w:rFonts w:ascii="Times New Roman" w:hAnsi="Times New Roman"/>
          <w:b/>
          <w:i w:val="false"/>
          <w:color w:val="000000"/>
          <w:sz w:val="22"/>
        </w:rPr>
        <w:t xml:space="preserve">(533) </w:t>
      </w:r>
      <w:r>
        <w:rPr>
          <w:rFonts w:ascii="Times New Roman" w:hAnsi="Times New Roman"/>
          <w:b/>
          <w:i w:val="false"/>
          <w:color w:val="000000"/>
          <w:sz w:val="22"/>
        </w:rPr>
        <w:t xml:space="preserve">Credit analysis. </w:t>
      </w:r>
      <w:r>
        <w:rPr>
          <w:rFonts w:ascii="Times New Roman" w:hAnsi="Times New Roman"/>
          <w:b w:val="false"/>
          <w:i w:val="false"/>
          <w:color w:val="000000"/>
          <w:sz w:val="22"/>
        </w:rPr>
        <w:t>A credit union must conduct and document a credit analysis on an investment and the issuing entity before purchasing it, except for investments issued or fully guaranteed as to principal and interest by the U.S. government or its agencies, enterprises, or corporations or fully insured (including accumulated interest) by the National Credit Union Administration or the Federal Deposit Insurance Corporation. A credit union must update this analysis at least annually for as long as it holds the investment.</w:t>
      </w:r>
    </w:p>
    <w:p>
      <w:pPr>
        <w:spacing w:before="210" w:after="0"/>
        <w:ind w:left="120"/>
        <w:jc w:val="both"/>
      </w:pPr>
      <w:r>
        <w:rPr>
          <w:rFonts w:ascii="Times New Roman" w:hAnsi="Times New Roman"/>
          <w:b/>
          <w:i w:val="false"/>
          <w:color w:val="000000"/>
          <w:sz w:val="22"/>
        </w:rPr>
        <w:t>189—17.7</w:t>
      </w:r>
      <w:r>
        <w:rPr>
          <w:rFonts w:ascii="Times New Roman" w:hAnsi="Times New Roman"/>
          <w:b/>
          <w:i w:val="false"/>
          <w:color w:val="000000"/>
          <w:sz w:val="22"/>
        </w:rPr>
        <w:t xml:space="preserve">(533) </w:t>
      </w:r>
      <w:r>
        <w:rPr>
          <w:rFonts w:ascii="Times New Roman" w:hAnsi="Times New Roman"/>
          <w:b/>
          <w:i w:val="false"/>
          <w:color w:val="000000"/>
          <w:sz w:val="22"/>
        </w:rPr>
        <w:t xml:space="preserve">Notice of noncompliant investments. </w:t>
      </w:r>
      <w:r>
        <w:rPr>
          <w:rFonts w:ascii="Times New Roman" w:hAnsi="Times New Roman"/>
          <w:b w:val="false"/>
          <w:i w:val="false"/>
          <w:color w:val="000000"/>
          <w:sz w:val="22"/>
        </w:rPr>
        <w:t>A credit union’s board of directors must receive notice, no later than the next regularly scheduled monthly board meeting, of any investment that either is outside of board policy after purchase or has failed a requirement of these rules. The board of directors must document its action regarding the investment in the minutes of the board meeting, including a detailed explanation of any decision not to sell the investment. The credit union must notify the superintendent in writing of an investment that has failed a requirement of these rules within five days after the board meeting.</w:t>
      </w:r>
    </w:p>
    <w:p>
      <w:pPr>
        <w:spacing w:before="0" w:after="0"/>
        <w:ind w:left="120"/>
        <w:jc w:val="both"/>
      </w:pPr>
      <w:r>
        <w:rPr>
          <w:rFonts w:ascii="Times New Roman" w:hAnsi="Times New Roman"/>
          <w:b/>
          <w:i w:val="false"/>
          <w:color w:val="000000"/>
          <w:sz w:val="22"/>
        </w:rPr>
        <w:t>189—17.8</w:t>
      </w:r>
      <w:r>
        <w:rPr>
          <w:rFonts w:ascii="Times New Roman" w:hAnsi="Times New Roman"/>
          <w:b/>
          <w:i w:val="false"/>
          <w:color w:val="000000"/>
          <w:sz w:val="22"/>
        </w:rPr>
        <w:t xml:space="preserve">(533) </w:t>
      </w:r>
      <w:r>
        <w:rPr>
          <w:rFonts w:ascii="Times New Roman" w:hAnsi="Times New Roman"/>
          <w:b/>
          <w:i w:val="false"/>
          <w:color w:val="000000"/>
          <w:sz w:val="22"/>
        </w:rPr>
        <w:t xml:space="preserve">Broker-dealers.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val="false"/>
          <w:color w:val="000000"/>
          <w:sz w:val="22"/>
        </w:rPr>
        <w:t>A credit union may purchase and sell investments through a broker-dealer as long as the broker-dealer is registered as a broker-dealer with the Securities and Exchange Commission under the Securities Exchange Act of 1934 (15 U.S.C. 78a, et seq.) or is a depository institution whose broker-dealer activities are regulated by a federal or state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val="false"/>
          <w:color w:val="000000"/>
          <w:sz w:val="22"/>
        </w:rPr>
        <w:t>Before purchasing an investment through a broker-dealer, a credit union must analyze and annually update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background of any sales representative with whom the credit union is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available from state or federal securities regulators and securities industry self-regulatory organizations, such as the National Association of Securities Dealers and the North American Securities Administrators Association, about any enforcement actions against the broker-dealer, its affiliates, or associated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broker-dealer is acting as the credit union’s counterparty, the ability of the broker-dealer and its subsidiaries or affiliates to fulfill commitments, as evidenced by capital strength, liquidity, and operating results. The credit union should consider current financial data, annual reports, external assessments of creditworthiness, relevant disclosure documents, and other sources of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w:t>
      </w:r>
      <w:hyperlink r:id="rId31">
        <w:r>
          <w:rPr>
            <w:rStyle w:val="Hyperlink"/>
            <w:rFonts w:ascii="Times New Roman" w:hAnsi="Times New Roman"/>
            <w:b w:val="false"/>
            <w:i w:val="false"/>
            <w:color w:val="000000"/>
            <w:sz w:val="22"/>
          </w:rPr>
          <w:t>17.8(1)</w:t>
        </w:r>
      </w:hyperlink>
      <w:r>
        <w:rPr>
          <w:rFonts w:ascii="Times New Roman" w:hAnsi="Times New Roman"/>
          <w:b w:val="false"/>
          <w:i w:val="false"/>
          <w:color w:val="000000"/>
          <w:sz w:val="22"/>
        </w:rPr>
        <w:t xml:space="preserve"> do not apply when the credit union purchases a certificate of deposit or share certificate directly from a bank, credit union, or other depository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1678C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189—17.9</w:t>
      </w:r>
      <w:r>
        <w:rPr>
          <w:rFonts w:ascii="Times New Roman" w:hAnsi="Times New Roman"/>
          <w:b/>
          <w:i w:val="false"/>
          <w:color w:val="000000"/>
          <w:sz w:val="22"/>
        </w:rPr>
        <w:t xml:space="preserve">(533) </w:t>
      </w:r>
      <w:r>
        <w:rPr>
          <w:rFonts w:ascii="Times New Roman" w:hAnsi="Times New Roman"/>
          <w:b/>
          <w:i w:val="false"/>
          <w:color w:val="000000"/>
          <w:sz w:val="22"/>
        </w:rPr>
        <w:t xml:space="preserve">Safekeeping of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val="false"/>
          <w:color w:val="000000"/>
          <w:sz w:val="22"/>
        </w:rPr>
        <w:t>A credit union’s purchased investments and repurchase collateral must be in the credit union’s possession, recorded as owned by the credit union through the Federal Reserve Book Entry System, or held by a board of directors-approved safekeeper under a written custodial agreement that requires the safekeeper to exercise, at least, ordinary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val="false"/>
          <w:color w:val="000000"/>
          <w:sz w:val="22"/>
        </w:rPr>
        <w:t>Any safekeeper used by a credit union must be regulated and supervised by either the Securities and Exchange Commission, a federal or state depository institution regulatory agency, or a state trust company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val="false"/>
          <w:color w:val="000000"/>
          <w:sz w:val="22"/>
        </w:rPr>
        <w:t>A credit union must obtain and reconcile monthly a statement of purchased investments and repurchase collateral held in safekeeping.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val="false"/>
          <w:color w:val="000000"/>
          <w:sz w:val="22"/>
        </w:rPr>
        <w:t>Annually, the credit union must analyze the ability of the safekeeper to fulfill the safekeeper’s custodial responsibilities, as evidenced by capital strength, liquidity, and operating results. The credit union should consider current financial data, annual reports, external assessments of creditworthiness, relevant disclosure documents, and other sources of financial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1678C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189—17.10</w:t>
      </w:r>
      <w:r>
        <w:rPr>
          <w:rFonts w:ascii="Times New Roman" w:hAnsi="Times New Roman"/>
          <w:b/>
          <w:i w:val="false"/>
          <w:color w:val="000000"/>
          <w:sz w:val="22"/>
        </w:rPr>
        <w:t xml:space="preserve">(533) </w:t>
      </w:r>
      <w:r>
        <w:rPr>
          <w:rFonts w:ascii="Times New Roman" w:hAnsi="Times New Roman"/>
          <w:b/>
          <w:i w:val="false"/>
          <w:color w:val="000000"/>
          <w:sz w:val="22"/>
        </w:rPr>
        <w:t xml:space="preserve">Monitoring nonsecurity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val="false"/>
          <w:color w:val="000000"/>
          <w:sz w:val="22"/>
        </w:rPr>
        <w:t>At least quarterly, a credit union must prepare a written report listing all of its shares and deposits in banks, credit unions, and other depository institutions, that have one or more of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Embedded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Remaining maturities greater than three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Coupon formulas that are related to more than one index or are inversely related to, or are multiples of, an index.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of </w:t>
      </w:r>
      <w:hyperlink r:id="rId32">
        <w:r>
          <w:rPr>
            <w:rStyle w:val="Hyperlink"/>
            <w:rFonts w:ascii="Times New Roman" w:hAnsi="Times New Roman"/>
            <w:b w:val="false"/>
            <w:i w:val="false"/>
            <w:color w:val="000000"/>
            <w:sz w:val="22"/>
          </w:rPr>
          <w:t>17.10(1)</w:t>
        </w:r>
      </w:hyperlink>
      <w:r>
        <w:rPr>
          <w:rFonts w:ascii="Times New Roman" w:hAnsi="Times New Roman"/>
          <w:b w:val="false"/>
          <w:i w:val="false"/>
          <w:color w:val="000000"/>
          <w:sz w:val="22"/>
        </w:rPr>
        <w:t xml:space="preserve"> does not apply to shares and deposits that are securities.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credit union does not have an investment-related committee, then each member of its board of directors must receive a copy of the report described in </w:t>
      </w:r>
      <w:hyperlink r:id="rId33">
        <w:r>
          <w:rPr>
            <w:rStyle w:val="Hyperlink"/>
            <w:rFonts w:ascii="Times New Roman" w:hAnsi="Times New Roman"/>
            <w:b w:val="false"/>
            <w:i w:val="false"/>
            <w:color w:val="000000"/>
            <w:sz w:val="22"/>
          </w:rPr>
          <w:t>17.10(1)</w:t>
        </w:r>
      </w:hyperlink>
      <w:r>
        <w:rPr>
          <w:rFonts w:ascii="Times New Roman" w:hAnsi="Times New Roman"/>
          <w:b w:val="false"/>
          <w:i w:val="false"/>
          <w:color w:val="000000"/>
          <w:sz w:val="22"/>
        </w:rPr>
        <w:t>. If a credit union has an investment-related committee, then each member of the committee must receive a copy of the report, and each board member must receive a summary of the information in the report.</w:t>
      </w:r>
    </w:p>
    <w:p>
      <w:pPr>
        <w:spacing w:before="0" w:after="0"/>
        <w:ind w:left="120"/>
        <w:jc w:val="both"/>
      </w:pPr>
      <w:r>
        <w:rPr>
          <w:rFonts w:ascii="Times New Roman" w:hAnsi="Times New Roman"/>
          <w:b/>
          <w:i w:val="false"/>
          <w:color w:val="000000"/>
          <w:sz w:val="22"/>
        </w:rPr>
        <w:t>189—17.11</w:t>
      </w:r>
      <w:r>
        <w:rPr>
          <w:rFonts w:ascii="Times New Roman" w:hAnsi="Times New Roman"/>
          <w:b/>
          <w:i w:val="false"/>
          <w:color w:val="000000"/>
          <w:sz w:val="22"/>
        </w:rPr>
        <w:t xml:space="preserve">(533) </w:t>
      </w:r>
      <w:r>
        <w:rPr>
          <w:rFonts w:ascii="Times New Roman" w:hAnsi="Times New Roman"/>
          <w:b/>
          <w:i w:val="false"/>
          <w:color w:val="000000"/>
          <w:sz w:val="22"/>
        </w:rPr>
        <w:t xml:space="preserve">Valuing securities.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val="false"/>
          <w:color w:val="000000"/>
          <w:sz w:val="22"/>
        </w:rPr>
        <w:t>Before purchasing or selling a security, a credit union must obtain either price quotations on the security from at least two broker-dealers or a price quotation on the security from an industry-recognized information provider. This requirement to obtain price quotations does not apply to new issues purchased at par or at original issue discount.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val="false"/>
          <w:color w:val="000000"/>
          <w:sz w:val="22"/>
        </w:rPr>
        <w:t>At least monthly, a credit union must determine the fair value of each security it holds. It may determine fair value by obtaining a price quotation on the security from an industry-recognized information provider, a broker-dealer, or a safekeeper.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17.11(3)</w:t>
      </w:r>
      <w:r>
        <w:rPr>
          <w:rFonts w:ascii="Times New Roman" w:hAnsi="Times New Roman"/>
          <w:b w:val="false"/>
          <w:i w:val="false"/>
          <w:color w:val="000000"/>
          <w:sz w:val="22"/>
        </w:rPr>
        <w:t> </w:t>
      </w:r>
      <w:r>
        <w:rPr>
          <w:rFonts w:ascii="Times New Roman" w:hAnsi="Times New Roman"/>
          <w:b w:val="false"/>
          <w:i w:val="false"/>
          <w:color w:val="000000"/>
          <w:sz w:val="22"/>
        </w:rPr>
        <w:t>At least annually, the credit union’s auditing/supervisory committee or its external auditor must independently assess the reliability of monthly price quotations received from a broker-dealer or safekeeper. The credit union’s auditing/supervisory committee or external auditor must follow generally accepted auditing standards, which require either recomputation or reference to market quotations.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17.11(4)</w:t>
      </w:r>
      <w:r>
        <w:rPr>
          <w:rFonts w:ascii="Times New Roman" w:hAnsi="Times New Roman"/>
          <w:b w:val="false"/>
          <w:i w:val="false"/>
          <w:color w:val="000000"/>
          <w:sz w:val="22"/>
        </w:rPr>
        <w:t> </w:t>
      </w:r>
      <w:r>
        <w:rPr>
          <w:rFonts w:ascii="Times New Roman" w:hAnsi="Times New Roman"/>
          <w:b w:val="false"/>
          <w:i w:val="false"/>
          <w:color w:val="000000"/>
          <w:sz w:val="22"/>
        </w:rPr>
        <w:t>If a credit union is unable to obtain a price quotation required by this rule for a particular security, then it may obtain a quotation for a security with substantially similar characteristics.</w:t>
      </w:r>
    </w:p>
    <w:p>
      <w:pPr>
        <w:spacing w:before="0" w:after="0"/>
        <w:ind w:left="120"/>
        <w:jc w:val="both"/>
      </w:pPr>
      <w:r>
        <w:rPr>
          <w:rFonts w:ascii="Times New Roman" w:hAnsi="Times New Roman"/>
          <w:b/>
          <w:i w:val="false"/>
          <w:color w:val="000000"/>
          <w:sz w:val="22"/>
        </w:rPr>
        <w:t>189—17.12</w:t>
      </w:r>
      <w:r>
        <w:rPr>
          <w:rFonts w:ascii="Times New Roman" w:hAnsi="Times New Roman"/>
          <w:b/>
          <w:i w:val="false"/>
          <w:color w:val="000000"/>
          <w:sz w:val="22"/>
        </w:rPr>
        <w:t xml:space="preserve">(533) </w:t>
      </w:r>
      <w:r>
        <w:rPr>
          <w:rFonts w:ascii="Times New Roman" w:hAnsi="Times New Roman"/>
          <w:b/>
          <w:i w:val="false"/>
          <w:color w:val="000000"/>
          <w:sz w:val="22"/>
        </w:rPr>
        <w:t xml:space="preserve">Monitoring securities.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val="false"/>
          <w:color w:val="000000"/>
          <w:sz w:val="22"/>
        </w:rPr>
        <w:t>At least monthly, a credit union must prepare a written report setting forth, for each security held, the fair value and dollar change since the prior month end, with summary information for the entire portfolio.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val="false"/>
          <w:color w:val="000000"/>
          <w:sz w:val="22"/>
        </w:rPr>
        <w:t>At least quarterly, a credit union must prepare a written report setting forth the sum of the fair values of all fixed and variable rate securities held that have one or more of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Embedded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Remaining maturities greater than three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Coupon formulas that are related to more than one index or are inversely related to, or are multiples of, an index.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amount calculated in </w:t>
      </w:r>
      <w:hyperlink r:id="rId34">
        <w:r>
          <w:rPr>
            <w:rStyle w:val="Hyperlink"/>
            <w:rFonts w:ascii="Times New Roman" w:hAnsi="Times New Roman"/>
            <w:b w:val="false"/>
            <w:i w:val="false"/>
            <w:color w:val="000000"/>
            <w:sz w:val="22"/>
          </w:rPr>
          <w:t>17.12(2)</w:t>
        </w:r>
      </w:hyperlink>
      <w:r>
        <w:rPr>
          <w:rFonts w:ascii="Times New Roman" w:hAnsi="Times New Roman"/>
          <w:b w:val="false"/>
          <w:i w:val="false"/>
          <w:color w:val="000000"/>
          <w:sz w:val="22"/>
        </w:rPr>
        <w:t xml:space="preserve"> is greater than a credit union’s net worth, the report described in that subrule must provide a reasonable and supportable estimate of the potential impact, in percentage and dollar terms, of an immediate and sustained parallel shift in market interest rates of plus and minus 300 basis points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fair value of each security in the credit union’s portfolio;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fair value of the credit union’s portfolio as a whole;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credit union’s net worth.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credit union does not have an investment-related committee, then each member of its board of directors must receive a copy of the reports described in </w:t>
      </w:r>
      <w:hyperlink r:id="rId35">
        <w:r>
          <w:rPr>
            <w:rStyle w:val="Hyperlink"/>
            <w:rFonts w:ascii="Times New Roman" w:hAnsi="Times New Roman"/>
            <w:b w:val="false"/>
            <w:i w:val="false"/>
            <w:color w:val="000000"/>
            <w:sz w:val="22"/>
          </w:rPr>
          <w:t>17.12(1)</w:t>
        </w:r>
      </w:hyperlink>
      <w:r>
        <w:rPr>
          <w:rFonts w:ascii="Times New Roman" w:hAnsi="Times New Roman"/>
          <w:b w:val="false"/>
          <w:i w:val="false"/>
          <w:color w:val="000000"/>
          <w:sz w:val="22"/>
        </w:rPr>
        <w:t xml:space="preserve"> through </w:t>
      </w:r>
      <w:hyperlink r:id="rId36">
        <w:r>
          <w:rPr>
            <w:rStyle w:val="Hyperlink"/>
            <w:rFonts w:ascii="Times New Roman" w:hAnsi="Times New Roman"/>
            <w:b w:val="false"/>
            <w:i w:val="false"/>
            <w:color w:val="000000"/>
            <w:sz w:val="22"/>
          </w:rPr>
          <w:t>17.12(3)</w:t>
        </w:r>
      </w:hyperlink>
      <w:r>
        <w:rPr>
          <w:rFonts w:ascii="Times New Roman" w:hAnsi="Times New Roman"/>
          <w:b w:val="false"/>
          <w:i w:val="false"/>
          <w:color w:val="000000"/>
          <w:sz w:val="22"/>
        </w:rPr>
        <w:t>. If the credit union has an investment-related committee, then each member of the committee must receive copies of the reports, and each member of the board of directors must receive a summary of the information in the reports.</w:t>
      </w:r>
    </w:p>
    <w:p>
      <w:pPr>
        <w:spacing w:before="0" w:after="0"/>
        <w:ind w:left="120"/>
        <w:jc w:val="both"/>
      </w:pPr>
      <w:r>
        <w:rPr>
          <w:rFonts w:ascii="Times New Roman" w:hAnsi="Times New Roman"/>
          <w:b/>
          <w:i w:val="false"/>
          <w:color w:val="000000"/>
          <w:sz w:val="22"/>
        </w:rPr>
        <w:t>189—17.13</w:t>
      </w:r>
      <w:r>
        <w:rPr>
          <w:rFonts w:ascii="Times New Roman" w:hAnsi="Times New Roman"/>
          <w:b/>
          <w:i w:val="false"/>
          <w:color w:val="000000"/>
          <w:sz w:val="22"/>
        </w:rPr>
        <w:t xml:space="preserve">(533) </w:t>
      </w:r>
      <w:r>
        <w:rPr>
          <w:rFonts w:ascii="Times New Roman" w:hAnsi="Times New Roman"/>
          <w:b/>
          <w:i w:val="false"/>
          <w:color w:val="000000"/>
          <w:sz w:val="22"/>
        </w:rPr>
        <w:t xml:space="preserve">Permissible investment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color w:val="000000"/>
          <w:sz w:val="22"/>
        </w:rPr>
        <w:t xml:space="preserve">Regular way settlement and delivery versus payment basis. </w:t>
      </w:r>
      <w:r>
        <w:rPr>
          <w:rFonts w:ascii="Times New Roman" w:hAnsi="Times New Roman"/>
          <w:b w:val="false"/>
          <w:i w:val="false"/>
          <w:color w:val="000000"/>
          <w:sz w:val="22"/>
        </w:rPr>
        <w:t>A credit union may only contract for the purchase or sale of a security as long as the delivery of the security is by regular way settlement and the transaction is accomplished on a delivery versus payment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color w:val="000000"/>
          <w:sz w:val="22"/>
        </w:rPr>
        <w:t xml:space="preserve">Federal funds. </w:t>
      </w:r>
      <w:r>
        <w:rPr>
          <w:rFonts w:ascii="Times New Roman" w:hAnsi="Times New Roman"/>
          <w:b w:val="false"/>
          <w:i w:val="false"/>
          <w:color w:val="000000"/>
          <w:sz w:val="22"/>
        </w:rPr>
        <w:t>A credit union may sell federal funds to a national bank; or to a state bank, trust company or mutual savings bank operating in accordance with Iowa law or the laws of any state where it operates a credit union office; or in banks and institutions, the accounts of which are insured by the Federal Deposit Insurance Corporation; or to credit unions, the accounts of which are insured by the National Credit Union Administration; and as long as the interest or other consideration received from the financial institution is at the market rate for federal funds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17.13(3)</w:t>
      </w:r>
      <w:r>
        <w:rPr>
          <w:rFonts w:ascii="Times New Roman" w:hAnsi="Times New Roman"/>
          <w:b w:val="false"/>
          <w:i w:val="false"/>
          <w:color w:val="000000"/>
          <w:sz w:val="22"/>
        </w:rPr>
        <w:t> </w:t>
      </w:r>
      <w:r>
        <w:rPr>
          <w:rFonts w:ascii="Times New Roman" w:hAnsi="Times New Roman"/>
          <w:b w:val="false"/>
          <w:i/>
          <w:color w:val="000000"/>
          <w:sz w:val="22"/>
        </w:rPr>
        <w:t xml:space="preserve">Investment repurchase transaction. </w:t>
      </w:r>
      <w:r>
        <w:rPr>
          <w:rFonts w:ascii="Times New Roman" w:hAnsi="Times New Roman"/>
          <w:b w:val="false"/>
          <w:i w:val="false"/>
          <w:color w:val="000000"/>
          <w:sz w:val="22"/>
        </w:rPr>
        <w:t>A credit union may enter into an investment repurchase transaction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securities the credit union receives are permissible investments for federal and Iowa credit unions; the credit union, or its agent, either takes physical possession or control of the repurchase securities or is recorded as owner of them through the Federal Reserve Book Entry Securities Transfer System; the credit union, or its agent, receives a daily assessment of the securities’ market value, including accrued interest; and the credit union maintains adequate margins that reflect a risk assessment of the securities and the term of the transaction;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credit union has entered into signed contracts with all approved counterparties.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17.13(4)</w:t>
      </w:r>
      <w:r>
        <w:rPr>
          <w:rFonts w:ascii="Times New Roman" w:hAnsi="Times New Roman"/>
          <w:b w:val="false"/>
          <w:i w:val="false"/>
          <w:color w:val="000000"/>
          <w:sz w:val="22"/>
        </w:rPr>
        <w:t> </w:t>
      </w:r>
      <w:r>
        <w:rPr>
          <w:rFonts w:ascii="Times New Roman" w:hAnsi="Times New Roman"/>
          <w:b w:val="false"/>
          <w:i/>
          <w:color w:val="000000"/>
          <w:sz w:val="22"/>
        </w:rPr>
        <w:t xml:space="preserve">Borrowing repurchase transaction. </w:t>
      </w:r>
      <w:r>
        <w:rPr>
          <w:rFonts w:ascii="Times New Roman" w:hAnsi="Times New Roman"/>
          <w:b w:val="false"/>
          <w:i w:val="false"/>
          <w:color w:val="000000"/>
          <w:sz w:val="22"/>
        </w:rPr>
        <w:t>A credit union may enter into a borrowing repurchase transaction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transaction meets the requirements of </w:t>
      </w:r>
      <w:hyperlink r:id="rId37">
        <w:r>
          <w:rPr>
            <w:rStyle w:val="Hyperlink"/>
            <w:rFonts w:ascii="Times New Roman" w:hAnsi="Times New Roman"/>
            <w:b w:val="false"/>
            <w:i w:val="false"/>
            <w:color w:val="000000"/>
            <w:sz w:val="22"/>
          </w:rPr>
          <w:t>17.13(3)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cash the credit union receives, when aggregated with all other credit union borrowings, is subject to the borrowing limit in accordance with Iowa Code section </w:t>
      </w:r>
      <w:hyperlink r:id="rId38">
        <w:r>
          <w:rPr>
            <w:rStyle w:val="Hyperlink"/>
            <w:rFonts w:ascii="Times New Roman" w:hAnsi="Times New Roman"/>
            <w:b w:val="false"/>
            <w:i w:val="false"/>
            <w:color w:val="000000"/>
            <w:sz w:val="22"/>
          </w:rPr>
          <w:t>533.306</w:t>
        </w:r>
      </w:hyperlink>
      <w:r>
        <w:rPr>
          <w:rFonts w:ascii="Times New Roman" w:hAnsi="Times New Roman"/>
          <w:b w:val="false"/>
          <w:i w:val="false"/>
          <w:color w:val="000000"/>
          <w:sz w:val="22"/>
        </w:rPr>
        <w:t xml:space="preserve"> or to any lesser amount specified by policy of the board of directors, and any investments the credit union purchases with that cash are permissible for federal credit unions;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investments referenced in </w:t>
      </w:r>
      <w:hyperlink r:id="rId39">
        <w:r>
          <w:rPr>
            <w:rStyle w:val="Hyperlink"/>
            <w:rFonts w:ascii="Times New Roman" w:hAnsi="Times New Roman"/>
            <w:b w:val="false"/>
            <w:i w:val="false"/>
            <w:color w:val="000000"/>
            <w:sz w:val="22"/>
          </w:rPr>
          <w:t>17.13(4)</w:t>
        </w:r>
        <w:r>
          <w:rPr>
            <w:rFonts w:ascii="Times New Roman" w:hAnsi="Times New Roman"/>
            <w:b w:val="false"/>
            <w:i/>
            <w:color w:val="000000"/>
            <w:sz w:val="22"/>
          </w:rPr>
          <w:t>“b”</w:t>
        </w:r>
      </w:hyperlink>
      <w:r>
        <w:rPr>
          <w:rFonts w:ascii="Times New Roman" w:hAnsi="Times New Roman"/>
          <w:b w:val="false"/>
          <w:i w:val="false"/>
          <w:color w:val="000000"/>
          <w:sz w:val="22"/>
        </w:rPr>
        <w:t xml:space="preserve"> mature no later than the maturity of the borrowing repurchase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17.13(5)</w:t>
      </w:r>
      <w:r>
        <w:rPr>
          <w:rFonts w:ascii="Times New Roman" w:hAnsi="Times New Roman"/>
          <w:b w:val="false"/>
          <w:i w:val="false"/>
          <w:color w:val="000000"/>
          <w:sz w:val="22"/>
        </w:rPr>
        <w:t> </w:t>
      </w:r>
      <w:r>
        <w:rPr>
          <w:rFonts w:ascii="Times New Roman" w:hAnsi="Times New Roman"/>
          <w:b w:val="false"/>
          <w:i/>
          <w:color w:val="000000"/>
          <w:sz w:val="22"/>
        </w:rPr>
        <w:t xml:space="preserve">Securities lending transaction. </w:t>
      </w:r>
      <w:r>
        <w:rPr>
          <w:rFonts w:ascii="Times New Roman" w:hAnsi="Times New Roman"/>
          <w:b w:val="false"/>
          <w:i w:val="false"/>
          <w:color w:val="000000"/>
          <w:sz w:val="22"/>
        </w:rPr>
        <w:t>A credit union may enter into a securities lending transaction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union receives written confirmation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collateral the credit union receives is a legal investment for federal credit unions; the credit union, or its agent, obtains a first priority security interest in the collateral by taking physical possession or control of the collateral, or is recorded as owner of the collateral through the Federal Reserve Book Entry Securities Transfer System; and the credit union, or its agent, receives a daily assessment of the market value of the collateral, including accrued interest; and maintains adequate margin that reflects a risk assessment of the collateral and the term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cash the credit union receives, when aggregated with all other credit union borrowings, is subject to the borrowing limit in accordance with Iowa Code section </w:t>
      </w:r>
      <w:hyperlink r:id="rId40">
        <w:r>
          <w:rPr>
            <w:rStyle w:val="Hyperlink"/>
            <w:rFonts w:ascii="Times New Roman" w:hAnsi="Times New Roman"/>
            <w:b w:val="false"/>
            <w:i w:val="false"/>
            <w:color w:val="000000"/>
            <w:sz w:val="22"/>
          </w:rPr>
          <w:t>533.306</w:t>
        </w:r>
      </w:hyperlink>
      <w:r>
        <w:rPr>
          <w:rFonts w:ascii="Times New Roman" w:hAnsi="Times New Roman"/>
          <w:b w:val="false"/>
          <w:i w:val="false"/>
          <w:color w:val="000000"/>
          <w:sz w:val="22"/>
        </w:rPr>
        <w:t xml:space="preserve"> or to any lesser amount specified by policy of the board of directors, and any investments the credit union purchases with that cash are permissible for federal credit unions and mature no later than the maturity of the transaction;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credit union has executed a written loan and security agreement with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17.13(6)</w:t>
      </w:r>
      <w:r>
        <w:rPr>
          <w:rFonts w:ascii="Times New Roman" w:hAnsi="Times New Roman"/>
          <w:b w:val="false"/>
          <w:i w:val="false"/>
          <w:color w:val="000000"/>
          <w:sz w:val="22"/>
        </w:rPr>
        <w:t> </w:t>
      </w:r>
      <w:r>
        <w:rPr>
          <w:rFonts w:ascii="Times New Roman" w:hAnsi="Times New Roman"/>
          <w:b w:val="false"/>
          <w:i/>
          <w:color w:val="000000"/>
          <w:sz w:val="22"/>
        </w:rPr>
        <w:t xml:space="preserve">Trading securities.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credit union may trade securities, including engaging in when-issued trading and pair-off transactions, so long as the credit union can show that it has sufficient resources, knowledge, systems, and procedures to handle the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credit union must record any security it purchases or sells for trading purposes at fair value on the trade date. The trade date is the date the credit union commits, orally or in writing, to purchase or sell a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monthly, the credit union must give its board of directors or investment-related committee a written report listing all purchase and sale transactions of trading securities and the resulting gain or loss on an individual basis.</w:t>
      </w:r>
    </w:p>
    <w:p>
      <w:pPr>
        <w:spacing w:before="0" w:after="0"/>
        <w:ind w:left="120"/>
        <w:jc w:val="both"/>
      </w:pPr>
      <w:r>
        <w:rPr>
          <w:rFonts w:ascii="Times New Roman" w:hAnsi="Times New Roman"/>
          <w:b/>
          <w:i w:val="false"/>
          <w:color w:val="000000"/>
          <w:sz w:val="22"/>
        </w:rPr>
        <w:t>189—17.14</w:t>
      </w:r>
      <w:r>
        <w:rPr>
          <w:rFonts w:ascii="Times New Roman" w:hAnsi="Times New Roman"/>
          <w:b/>
          <w:i w:val="false"/>
          <w:color w:val="000000"/>
          <w:sz w:val="22"/>
        </w:rPr>
        <w:t xml:space="preserve">(533) </w:t>
      </w:r>
      <w:r>
        <w:rPr>
          <w:rFonts w:ascii="Times New Roman" w:hAnsi="Times New Roman"/>
          <w:b/>
          <w:i w:val="false"/>
          <w:color w:val="000000"/>
          <w:sz w:val="22"/>
        </w:rPr>
        <w:t xml:space="preserve">Permissible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color w:val="000000"/>
          <w:sz w:val="22"/>
        </w:rPr>
        <w:t xml:space="preserve">Variable rate investment. </w:t>
      </w:r>
      <w:r>
        <w:rPr>
          <w:rFonts w:ascii="Times New Roman" w:hAnsi="Times New Roman"/>
          <w:b w:val="false"/>
          <w:i w:val="false"/>
          <w:color w:val="000000"/>
          <w:sz w:val="22"/>
        </w:rPr>
        <w:t>A credit union may invest in a variable rate investment, as long as the index is tied to domestic interest rates. Except in the case of U.S. Treasury inflation-protected securities, the variable rate investment cannot, for example, be tied to foreign currencies, foreign interest rates, domestic or foreign commodity prices, equity prices, or inflation rates. For purposes of this subrule, the U.S. dollar-denominated London Interbank Offered Rate (LIBOR) is a domestic interest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color w:val="000000"/>
          <w:sz w:val="22"/>
        </w:rPr>
        <w:t xml:space="preserve">Corporate credit union shares or deposits. </w:t>
      </w:r>
      <w:r>
        <w:rPr>
          <w:rFonts w:ascii="Times New Roman" w:hAnsi="Times New Roman"/>
          <w:b w:val="false"/>
          <w:i w:val="false"/>
          <w:color w:val="000000"/>
          <w:sz w:val="22"/>
        </w:rPr>
        <w:t>A credit union may purchase shares or deposits in a corporate credit union, except when the superintendent or the NCUA has notified it that the corporate credit union is not operating in compliance with NCUA rules and regulations, 12 CFR Part 704. A credit union’s aggregate amount of paid-in capital and membership capital, as defined in NCUA rules and regulations, 12 CFR Part 704, in one corporate credit union is limited to 2 percent of its assets measured at the time of investment or adjustment. A credit union’s aggregate amount of paid-in capital and membership capital in all corporate credit unions is limited to 4 percent of its assets measured at the time of investment 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color w:val="000000"/>
          <w:sz w:val="22"/>
        </w:rPr>
        <w:t xml:space="preserve">Registered investment company. </w:t>
      </w:r>
      <w:r>
        <w:rPr>
          <w:rFonts w:ascii="Times New Roman" w:hAnsi="Times New Roman"/>
          <w:b w:val="false"/>
          <w:i w:val="false"/>
          <w:color w:val="000000"/>
          <w:sz w:val="22"/>
        </w:rPr>
        <w:t>A credit union may invest in a registered investment company or collective investment fund, as long as the prospectus of the company or fund restricts the investment portfolio to investments and investment transactions that are permissible for federal credit unions.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17.14(4)</w:t>
      </w:r>
      <w:r>
        <w:rPr>
          <w:rFonts w:ascii="Times New Roman" w:hAnsi="Times New Roman"/>
          <w:b w:val="false"/>
          <w:i w:val="false"/>
          <w:color w:val="000000"/>
          <w:sz w:val="22"/>
        </w:rPr>
        <w:t> </w:t>
      </w:r>
      <w:r>
        <w:rPr>
          <w:rFonts w:ascii="Times New Roman" w:hAnsi="Times New Roman"/>
          <w:b w:val="false"/>
          <w:i/>
          <w:color w:val="000000"/>
          <w:sz w:val="22"/>
        </w:rPr>
        <w:t xml:space="preserve">Collateralized mortgage obligation/real estate mortgage investment conduit. </w:t>
      </w:r>
      <w:r>
        <w:rPr>
          <w:rFonts w:ascii="Times New Roman" w:hAnsi="Times New Roman"/>
          <w:b w:val="false"/>
          <w:i w:val="false"/>
          <w:color w:val="000000"/>
          <w:sz w:val="22"/>
        </w:rPr>
        <w:t>A credit union may invest in a fixed or variable rate collateralized mortgage obligation/real estate mortgage investment conduit.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17.14(5)</w:t>
      </w:r>
      <w:r>
        <w:rPr>
          <w:rFonts w:ascii="Times New Roman" w:hAnsi="Times New Roman"/>
          <w:b w:val="false"/>
          <w:i w:val="false"/>
          <w:color w:val="000000"/>
          <w:sz w:val="22"/>
        </w:rPr>
        <w:t> </w:t>
      </w:r>
      <w:r>
        <w:rPr>
          <w:rFonts w:ascii="Times New Roman" w:hAnsi="Times New Roman"/>
          <w:b w:val="false"/>
          <w:i/>
          <w:color w:val="000000"/>
          <w:sz w:val="22"/>
        </w:rPr>
        <w:t xml:space="preserve">Municipal security. </w:t>
      </w:r>
      <w:r>
        <w:rPr>
          <w:rFonts w:ascii="Times New Roman" w:hAnsi="Times New Roman"/>
          <w:b w:val="false"/>
          <w:i w:val="false"/>
          <w:color w:val="000000"/>
          <w:sz w:val="22"/>
        </w:rPr>
        <w:t>A credit union may purchase and hold a municipal security, as defined in the Federal Credit Union Act, 12 U.S.C. Section 1757(7)(K), only if the credit union conducts and documents an analysis that reasonably concludes the security is at least investment grade. The credit union must also limit its aggregate municipal securities holdings to no more than 75 percent of the credit union’s net worth and limit its holdings of municipal securities issued by any single issuer to no more than 25 percent of the credit union’s net worth.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17.14(6)</w:t>
      </w:r>
      <w:r>
        <w:rPr>
          <w:rFonts w:ascii="Times New Roman" w:hAnsi="Times New Roman"/>
          <w:b w:val="false"/>
          <w:i w:val="false"/>
          <w:color w:val="000000"/>
          <w:sz w:val="22"/>
        </w:rPr>
        <w:t> </w:t>
      </w:r>
      <w:r>
        <w:rPr>
          <w:rFonts w:ascii="Times New Roman" w:hAnsi="Times New Roman"/>
          <w:b w:val="false"/>
          <w:i/>
          <w:color w:val="000000"/>
          <w:sz w:val="22"/>
        </w:rPr>
        <w:t xml:space="preserve">Instruments issued by institutions described in the Federal Credit Union Act, 12 U.S.C. Section 1757(8). </w:t>
      </w:r>
      <w:r>
        <w:rPr>
          <w:rFonts w:ascii="Times New Roman" w:hAnsi="Times New Roman"/>
          <w:b w:val="false"/>
          <w:i w:val="false"/>
          <w:color w:val="000000"/>
          <w:sz w:val="22"/>
        </w:rPr>
        <w:t>A credit union may invest in the following instruments issued by an institution described in Section 1757(8) of the Federal Credit Union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Yankee dollar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Eurodollar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Banker’s acceptances;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Deposit notes;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Bank notes with weighted average maturities of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17.14(7)</w:t>
      </w:r>
      <w:r>
        <w:rPr>
          <w:rFonts w:ascii="Times New Roman" w:hAnsi="Times New Roman"/>
          <w:b w:val="false"/>
          <w:i w:val="false"/>
          <w:color w:val="000000"/>
          <w:sz w:val="22"/>
        </w:rPr>
        <w:t> </w:t>
      </w:r>
      <w:r>
        <w:rPr>
          <w:rFonts w:ascii="Times New Roman" w:hAnsi="Times New Roman"/>
          <w:b w:val="false"/>
          <w:i/>
          <w:color w:val="000000"/>
          <w:sz w:val="22"/>
        </w:rPr>
        <w:t xml:space="preserve">European financial options contract. </w:t>
      </w:r>
      <w:r>
        <w:rPr>
          <w:rFonts w:ascii="Times New Roman" w:hAnsi="Times New Roman"/>
          <w:b w:val="false"/>
          <w:i w:val="false"/>
          <w:color w:val="000000"/>
          <w:sz w:val="22"/>
        </w:rPr>
        <w:t>A credit union may purchase a European financial options contract or a series of European financial options contracts only to fund the payment of dividends on member share certificates or interest on member certificates of deposit when such dividend or interest rate is tied to an equity index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option and dividend/interest rate are based on a domestic equity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Proceeds from the options are used only to fund dividends/interest on the equity-linked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Dividends or interest, or both, on the certificates are derived solely from the change in the domestic equity index over a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options’ expiration dates are no later than the maturity date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certificate may be redeemed prior to the maturity date only upon the member’s death or termination of the corresponding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costs associated with the purchase of the option is known by the credit union prior to effecting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options are purchased at the same time the certificate is issued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counterparty to the transaction is a domestic counterparty and has been approved by the credit union’s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counterparty to the transaction meets the minimum credit quality standards as approved by the credit union’s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collateral posted by the counterparty is a permissible investment for federal credit unions and is valued daily by an independent third party along with the value of the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equity-linked member share certificates does not exceed 50 percent of the credit union’s net worth;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terms of the certificate include a guarantee that there can be no loss of principal to the member regardless of changes in the value of the option unless the certificate is redeemed prior to maturity;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credit union provides its board of directors with a monthly report detailing,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dollar amount of outstanding equity-linked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certificates’ maturities;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fair value of the options as determined by an independent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17.14(8)</w:t>
      </w:r>
      <w:r>
        <w:rPr>
          <w:rFonts w:ascii="Times New Roman" w:hAnsi="Times New Roman"/>
          <w:b w:val="false"/>
          <w:i w:val="false"/>
          <w:color w:val="000000"/>
          <w:sz w:val="22"/>
        </w:rPr>
        <w:t> </w:t>
      </w:r>
      <w:r>
        <w:rPr>
          <w:rFonts w:ascii="Times New Roman" w:hAnsi="Times New Roman"/>
          <w:b w:val="false"/>
          <w:i/>
          <w:color w:val="000000"/>
          <w:sz w:val="22"/>
        </w:rPr>
        <w:t xml:space="preserve">Debt obligations of U.S.-chartered corporations. </w:t>
      </w:r>
      <w:r>
        <w:rPr>
          <w:rFonts w:ascii="Times New Roman" w:hAnsi="Times New Roman"/>
          <w:b w:val="false"/>
          <w:i w:val="false"/>
          <w:color w:val="000000"/>
          <w:sz w:val="22"/>
        </w:rPr>
        <w:t xml:space="preserve">An Iowa state-chartered credit union may invest in unsecured notes and acceptances, commonly referred to as “commercial paper” and “corporate bonds,” of U.S.-chartered corporations pursuant to Iowa Code section </w:t>
      </w:r>
      <w:hyperlink r:id="rId41">
        <w:r>
          <w:rPr>
            <w:rStyle w:val="Hyperlink"/>
            <w:rFonts w:ascii="Times New Roman" w:hAnsi="Times New Roman"/>
            <w:b w:val="false"/>
            <w:i w:val="false"/>
            <w:color w:val="000000"/>
            <w:sz w:val="22"/>
          </w:rPr>
          <w:t>533.301(5)</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and this rule,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investment in a corporate bond debt obligation is investment grade and has a maturity of less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investment in a commercial paper debt obligation is investment grade and has a maturity of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investment in a nonrated equivalent value issue of a commercial paper debt obligation shall be investment grade. A credit union shall retain documentation supporting its determination and the current and previous two years of year-end financial statements which indicate acceptable operating performance of the issuing U.S.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subsequent to the date of purchase but prior to the date of maturity, the investment no longer meets the investment grade standard and the investment exceeds the credit union’s net worth by 5 percent or more, the credit union shall have no more than 30 days to divest of the security unless the credit union seeks and receives a waiver from the superintendent as provided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investment by a credit union in debt obligations in a lone U.S. corporation and its subsidiaries shall not exceed 25 percent of the credit union’s net worth;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aggregate investment by a credit union in debt obligations of U.S. corporations and their subsidiaries shall not exceed the lesser of 100 percent of the credit union’s net worth or 20 percent of the credit union’s investment portfolio;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investment will be considered speculative and unauthorized if it contains any of the following characteristics, and the credit union shall be required to divest of the security in accordance with </w:t>
      </w:r>
      <w:hyperlink r:id="rId42">
        <w:r>
          <w:rPr>
            <w:rStyle w:val="Hyperlink"/>
            <w:rFonts w:ascii="Times New Roman" w:hAnsi="Times New Roman"/>
            <w:b w:val="false"/>
            <w:i w:val="false"/>
            <w:color w:val="000000"/>
            <w:sz w:val="22"/>
          </w:rPr>
          <w:t>17.14(8)</w:t>
        </w:r>
        <w:r>
          <w:rPr>
            <w:rFonts w:ascii="Times New Roman" w:hAnsi="Times New Roman"/>
            <w:b w:val="false"/>
            <w:i/>
            <w:color w:val="000000"/>
            <w:sz w:val="22"/>
          </w:rPr>
          <w:t>“d”</w:t>
        </w:r>
      </w:hyperlink>
      <w:r>
        <w:rPr>
          <w:rFonts w:ascii="Times New Roman" w:hAnsi="Times New Roman"/>
          <w:b w:val="false"/>
          <w:i w:val="false"/>
          <w:color w:val="000000"/>
          <w:sz w:val="22"/>
        </w:rPr>
        <w:t xml:space="preserve"> without an opportunity of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issued by a business entity not recognized in the market place or by other than a U.S.-chartered corporation, or by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has a maturity that exceeds that established in this subrule;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is issued to cover or underwrite foreign market operations, or for new-line products or services, or both, which exceed 25 percent of the investment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net worth level of a credit union falls or remains below an amount which causes the limitations of this subrule to be exceeded for two consecutive quarters and the amount of difference is 5 percent or more of the net worth, the credit union shall divest of a sufficient amount of debt obligations so the credit union no longer exceeds the limitations or seek a waiver from the superintendent as provided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corporate credit union chartered in accordance with Iowa Code chapter </w:t>
      </w:r>
      <w:hyperlink r:id="rId43">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is exempt from the provisions and limitations of this subrule and, instead, shall have the powers, restrictions and obligations contained in NCUA rules and regulations, 12 CFR Part 704, for federally insured corporate credit unions.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17.14(9)</w:t>
      </w:r>
      <w:r>
        <w:rPr>
          <w:rFonts w:ascii="Times New Roman" w:hAnsi="Times New Roman"/>
          <w:b w:val="false"/>
          <w:i w:val="false"/>
          <w:color w:val="000000"/>
          <w:sz w:val="22"/>
        </w:rPr>
        <w:t> </w:t>
      </w:r>
      <w:r>
        <w:rPr>
          <w:rFonts w:ascii="Times New Roman" w:hAnsi="Times New Roman"/>
          <w:b w:val="false"/>
          <w:i/>
          <w:color w:val="000000"/>
          <w:sz w:val="22"/>
        </w:rPr>
        <w:t xml:space="preserve">Mortgage note repurchase transactions. </w:t>
      </w:r>
      <w:r>
        <w:rPr>
          <w:rFonts w:ascii="Times New Roman" w:hAnsi="Times New Roman"/>
          <w:b w:val="false"/>
          <w:i w:val="false"/>
          <w:color w:val="000000"/>
          <w:sz w:val="22"/>
        </w:rPr>
        <w:t xml:space="preserve">A credit union may invest in securities that are offered and sold pursuant to Section 4(5) of the Securities Act of 1933, 15 U.S.C. 77d(5), only as a part of an investment repurchase agreement under subrule </w:t>
      </w:r>
      <w:hyperlink r:id="rId44">
        <w:r>
          <w:rPr>
            <w:rStyle w:val="Hyperlink"/>
            <w:rFonts w:ascii="Times New Roman" w:hAnsi="Times New Roman"/>
            <w:b w:val="false"/>
            <w:i w:val="false"/>
            <w:color w:val="000000"/>
            <w:sz w:val="22"/>
          </w:rPr>
          <w:t>17.13(3)</w:t>
        </w:r>
      </w:hyperlink>
      <w:r>
        <w:rPr>
          <w:rFonts w:ascii="Times New Roman" w:hAnsi="Times New Roman"/>
          <w:b w:val="false"/>
          <w:i w:val="false"/>
          <w:color w:val="000000"/>
          <w:sz w:val="22"/>
        </w:rPr>
        <w:t>,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aggregate of the investments with any one counterparty is limited to 25 percent of the credit union’s net worth and 50 percent of its net worth with all counterparties.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the credit union purchases the securities, the counterparty, or a party fully guaranteeing the counterparty, must meet the minimum credit quality standards as approved by the credit union’s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union must obtain a daily assessment of the market value of the securities under paragraph </w:t>
      </w:r>
      <w:hyperlink r:id="rId45">
        <w:r>
          <w:rPr>
            <w:rStyle w:val="Hyperlink"/>
            <w:rFonts w:ascii="Times New Roman" w:hAnsi="Times New Roman"/>
            <w:b w:val="false"/>
            <w:i w:val="false"/>
            <w:color w:val="000000"/>
            <w:sz w:val="22"/>
          </w:rPr>
          <w:t>17.13(3)</w:t>
        </w:r>
        <w:r>
          <w:rPr>
            <w:rFonts w:ascii="Times New Roman" w:hAnsi="Times New Roman"/>
            <w:b w:val="false"/>
            <w:i/>
            <w:color w:val="000000"/>
            <w:sz w:val="22"/>
          </w:rPr>
          <w:t>“a”</w:t>
        </w:r>
      </w:hyperlink>
      <w:r>
        <w:rPr>
          <w:rFonts w:ascii="Times New Roman" w:hAnsi="Times New Roman"/>
          <w:b w:val="false"/>
          <w:i w:val="false"/>
          <w:color w:val="000000"/>
          <w:sz w:val="22"/>
        </w:rPr>
        <w:t xml:space="preserve"> using an independent qualified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mortgage note repurchase transaction is limited to a maximum of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mortgage note repurchase transactions will be conducted under triparty custodial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credit union must obtain an undivided interest in the securities.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17.14(10)</w:t>
      </w:r>
      <w:r>
        <w:rPr>
          <w:rFonts w:ascii="Times New Roman" w:hAnsi="Times New Roman"/>
          <w:b w:val="false"/>
          <w:i w:val="false"/>
          <w:color w:val="000000"/>
          <w:sz w:val="22"/>
        </w:rPr>
        <w:t> </w:t>
      </w:r>
      <w:r>
        <w:rPr>
          <w:rFonts w:ascii="Times New Roman" w:hAnsi="Times New Roman"/>
          <w:b w:val="false"/>
          <w:i/>
          <w:color w:val="000000"/>
          <w:sz w:val="22"/>
        </w:rPr>
        <w:t xml:space="preserve">Zero-coupon investments. </w:t>
      </w:r>
      <w:r>
        <w:rPr>
          <w:rFonts w:ascii="Times New Roman" w:hAnsi="Times New Roman"/>
          <w:b w:val="false"/>
          <w:i w:val="false"/>
          <w:color w:val="000000"/>
          <w:sz w:val="22"/>
        </w:rPr>
        <w:t>A credit union may only purchase a zero-coupon investment with a maturity date that is no greater than ten years from the related settlement date, unless authorized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17.14(11)</w:t>
      </w:r>
      <w:r>
        <w:rPr>
          <w:rFonts w:ascii="Times New Roman" w:hAnsi="Times New Roman"/>
          <w:b w:val="false"/>
          <w:i w:val="false"/>
          <w:color w:val="000000"/>
          <w:sz w:val="22"/>
        </w:rPr>
        <w:t> </w:t>
      </w:r>
      <w:r>
        <w:rPr>
          <w:rFonts w:ascii="Times New Roman" w:hAnsi="Times New Roman"/>
          <w:b w:val="false"/>
          <w:i/>
          <w:color w:val="000000"/>
          <w:sz w:val="22"/>
        </w:rPr>
        <w:t xml:space="preserve">Commercial mortgage-related security (CMRS). </w:t>
      </w:r>
      <w:r>
        <w:rPr>
          <w:rFonts w:ascii="Times New Roman" w:hAnsi="Times New Roman"/>
          <w:b w:val="false"/>
          <w:i w:val="false"/>
          <w:color w:val="000000"/>
          <w:sz w:val="22"/>
        </w:rPr>
        <w:t>A credit union may purchase a CMRS that would be a permissible investment for a federal credit union under 12 U.S.C. Section 1756(7)(E) or Section 1756(15)(B)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union conducts and documents a credit analysis that reasonably concludes the CMRS is at least investment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CMRS meets the definition of commercial mortgage security in </w:t>
      </w:r>
      <w:hyperlink r:id="rId46">
        <w:r>
          <w:rPr>
            <w:rStyle w:val="Hyperlink"/>
            <w:rFonts w:ascii="Times New Roman" w:hAnsi="Times New Roman"/>
            <w:b w:val="false"/>
            <w:i w:val="false"/>
            <w:color w:val="000000"/>
            <w:sz w:val="22"/>
          </w:rPr>
          <w:t>189—17.2</w:t>
        </w:r>
      </w:hyperlink>
      <w:r>
        <w:rPr>
          <w:rFonts w:ascii="Times New Roman" w:hAnsi="Times New Roman"/>
          <w:b w:val="false"/>
          <w:i w:val="false"/>
          <w:color w:val="000000"/>
          <w:sz w:val="22"/>
        </w:rPr>
        <w:t>(533).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CMRS’s underlying pool of loans contains more than 50 loans with no one loan representing more than 10 percent of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private label CMRS purchased by the credit union does not exceed 25 percent of its net worth, unless otherwise authorized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17.14(12)</w:t>
      </w:r>
      <w:r>
        <w:rPr>
          <w:rFonts w:ascii="Times New Roman" w:hAnsi="Times New Roman"/>
          <w:b w:val="false"/>
          <w:i w:val="false"/>
          <w:color w:val="000000"/>
          <w:sz w:val="22"/>
        </w:rPr>
        <w:t> </w:t>
      </w:r>
      <w:r>
        <w:rPr>
          <w:rFonts w:ascii="Times New Roman" w:hAnsi="Times New Roman"/>
          <w:b w:val="false"/>
          <w:i/>
          <w:color w:val="000000"/>
          <w:sz w:val="22"/>
        </w:rPr>
        <w:t xml:space="preserve">Charitable donation accounts. </w:t>
      </w:r>
      <w:r>
        <w:rPr>
          <w:rFonts w:ascii="Times New Roman" w:hAnsi="Times New Roman"/>
          <w:b w:val="false"/>
          <w:i w:val="false"/>
          <w:color w:val="000000"/>
          <w:sz w:val="22"/>
        </w:rPr>
        <w:t xml:space="preserve">An Iowa-chartered credit union may apply to the superintendent for authorization to fund a charitable donation account (CDA) as approved by the National Credit Union Administration. The request to the superintendent should address the items listed in </w:t>
      </w:r>
      <w:hyperlink r:id="rId47">
        <w:r>
          <w:rPr>
            <w:rStyle w:val="Hyperlink"/>
            <w:rFonts w:ascii="Times New Roman" w:hAnsi="Times New Roman"/>
            <w:b w:val="false"/>
            <w:i w:val="false"/>
            <w:color w:val="000000"/>
            <w:sz w:val="22"/>
          </w:rPr>
          <w:t>17.19(2)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superintendent grants the request, the CDA must satisfy all of the conditions in 12 CFR 721.3(b)(2)(i) to (vii),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book value of investments in all CDAs in the aggregate must be limited to 5 percent of a credit union’s net worth at all times as measured at every call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assets must be held in a segregated custodial account and be specifically identified as a CDA.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trust is chosen as the vehicle for the CDA, the trustee must be regulated by the Office of the Comptroller of the Currency (OCC), the U.S. Securities and Exchange Commission (SEC), another federal regulatory agency, or a state regulatory agency. A regulated trustee or other person or entity that is authorized to make investment decisions for a CDA, other than the credit union itself, must be either a registered investment adviser or regulated by the OCC.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parties to the CDA, typically the funding credit union and trustee or other manager of the account, must document the terms and conditions controlling the account in a written agreement. The terms of the agreement must be consistent with the federal rule. The credit union’s board of directors must adopt written policies governing the creation, funding, and management of the CDA that are consistent with the federal rule, must review the policies annually, and may amend them from time to time. Charitable contributions and donations can only be made to organizations that are exempt from taxation under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Credit unions utilizing CDAs are required to distribute 51 percent of the total return on investment to one or more qualified charities no less frequently than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CDAs are investments that carry risk. It is expected that any credit union that makes this type of investment will conduct the necessary due diligence and retain the due diligence documentation for examiner review. The board must also document the investment strategies and risk tolerances and must account for the CDA in accordance with generally accepted accounting principles.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1678C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3734C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189—17.15</w:t>
      </w:r>
      <w:r>
        <w:rPr>
          <w:rFonts w:ascii="Times New Roman" w:hAnsi="Times New Roman"/>
          <w:b/>
          <w:i w:val="false"/>
          <w:color w:val="000000"/>
          <w:sz w:val="22"/>
        </w:rPr>
        <w:t xml:space="preserve">(533) </w:t>
      </w:r>
      <w:r>
        <w:rPr>
          <w:rFonts w:ascii="Times New Roman" w:hAnsi="Times New Roman"/>
          <w:b/>
          <w:i w:val="false"/>
          <w:color w:val="000000"/>
          <w:sz w:val="22"/>
        </w:rPr>
        <w:t xml:space="preserve">Prohibited investment activities. </w:t>
      </w:r>
      <w:r>
        <w:rPr>
          <w:rFonts w:ascii="Times New Roman" w:hAnsi="Times New Roman"/>
          <w:b w:val="false"/>
          <w:i w:val="false"/>
          <w:color w:val="000000"/>
          <w:sz w:val="22"/>
        </w:rPr>
        <w:t>A credit union may not engage in adjusted trading or short sales.</w:t>
      </w:r>
    </w:p>
    <w:p>
      <w:pPr>
        <w:spacing w:before="0" w:after="0"/>
        <w:ind w:left="120"/>
        <w:jc w:val="both"/>
      </w:pPr>
      <w:r>
        <w:rPr>
          <w:rFonts w:ascii="Times New Roman" w:hAnsi="Times New Roman"/>
          <w:b/>
          <w:i w:val="false"/>
          <w:color w:val="000000"/>
          <w:sz w:val="22"/>
        </w:rPr>
        <w:t>189—17.16</w:t>
      </w:r>
      <w:r>
        <w:rPr>
          <w:rFonts w:ascii="Times New Roman" w:hAnsi="Times New Roman"/>
          <w:b/>
          <w:i w:val="false"/>
          <w:color w:val="000000"/>
          <w:sz w:val="22"/>
        </w:rPr>
        <w:t xml:space="preserve">(533) </w:t>
      </w:r>
      <w:r>
        <w:rPr>
          <w:rFonts w:ascii="Times New Roman" w:hAnsi="Times New Roman"/>
          <w:b/>
          <w:i w:val="false"/>
          <w:color w:val="000000"/>
          <w:sz w:val="22"/>
        </w:rPr>
        <w:t xml:space="preserve">Prohibited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17.16(1)</w:t>
      </w:r>
      <w:r>
        <w:rPr>
          <w:rFonts w:ascii="Times New Roman" w:hAnsi="Times New Roman"/>
          <w:b w:val="false"/>
          <w:i w:val="false"/>
          <w:color w:val="000000"/>
          <w:sz w:val="22"/>
        </w:rPr>
        <w:t> </w:t>
      </w:r>
      <w:r>
        <w:rPr>
          <w:rFonts w:ascii="Times New Roman" w:hAnsi="Times New Roman"/>
          <w:b w:val="false"/>
          <w:i/>
          <w:color w:val="000000"/>
          <w:sz w:val="22"/>
        </w:rPr>
        <w:t xml:space="preserve">Derivatives. </w:t>
      </w:r>
      <w:r>
        <w:rPr>
          <w:rFonts w:ascii="Times New Roman" w:hAnsi="Times New Roman"/>
          <w:b w:val="false"/>
          <w:i w:val="false"/>
          <w:color w:val="000000"/>
          <w:sz w:val="22"/>
        </w:rPr>
        <w:t>A credit union may not purchase or sell financial derivatives, such as futures, options, interest rate swaps, or forward rate swaps. This prohibition does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derivatives permitted under NCUA rules and regulations, 12 CFR 701.21(i) and </w:t>
      </w:r>
      <w:hyperlink r:id="rId48">
        <w:r>
          <w:rPr>
            <w:rStyle w:val="Hyperlink"/>
            <w:rFonts w:ascii="Times New Roman" w:hAnsi="Times New Roman"/>
            <w:b w:val="false"/>
            <w:i w:val="false"/>
            <w:color w:val="000000"/>
            <w:sz w:val="22"/>
          </w:rPr>
          <w:t>189—subrule 17.14(7)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Embedded options not required under GAAP to be accounted for separately from the host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 lock commitments or forward sales commitments made in connection with a loan originated by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17.16(2)</w:t>
      </w:r>
      <w:r>
        <w:rPr>
          <w:rFonts w:ascii="Times New Roman" w:hAnsi="Times New Roman"/>
          <w:b w:val="false"/>
          <w:i w:val="false"/>
          <w:color w:val="000000"/>
          <w:sz w:val="22"/>
        </w:rPr>
        <w:t> </w:t>
      </w:r>
      <w:r>
        <w:rPr>
          <w:rFonts w:ascii="Times New Roman" w:hAnsi="Times New Roman"/>
          <w:b w:val="false"/>
          <w:i/>
          <w:color w:val="000000"/>
          <w:sz w:val="22"/>
        </w:rPr>
        <w:t xml:space="preserve">Zero coupon investments.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10/15/14</w:t>
      </w:r>
      <w:r>
        <w:rPr>
          <w:rFonts w:ascii="Times New Roman" w:hAnsi="Times New Roman"/>
          <w:b w:val="false"/>
          <w:i w:val="false"/>
          <w:color w:val="000000"/>
          <w:sz w:val="22"/>
        </w:rPr>
        <w:t>, effective 11/19/14.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17.16(3)</w:t>
      </w:r>
      <w:r>
        <w:rPr>
          <w:rFonts w:ascii="Times New Roman" w:hAnsi="Times New Roman"/>
          <w:b w:val="false"/>
          <w:i w:val="false"/>
          <w:color w:val="000000"/>
          <w:sz w:val="22"/>
        </w:rPr>
        <w:t> </w:t>
      </w:r>
      <w:r>
        <w:rPr>
          <w:rFonts w:ascii="Times New Roman" w:hAnsi="Times New Roman"/>
          <w:b w:val="false"/>
          <w:i/>
          <w:color w:val="000000"/>
          <w:sz w:val="22"/>
        </w:rPr>
        <w:t xml:space="preserve">Mortgage servicing rights. </w:t>
      </w:r>
      <w:r>
        <w:rPr>
          <w:rFonts w:ascii="Times New Roman" w:hAnsi="Times New Roman"/>
          <w:b w:val="false"/>
          <w:i w:val="false"/>
          <w:color w:val="000000"/>
          <w:sz w:val="22"/>
        </w:rPr>
        <w:t>A credit union may not purchase mortgage servicing rights as an investment but may perform mortgage servicing functions as a financial service for a member as long as the mortgage loan is owned by a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17.16(4)</w:t>
      </w:r>
      <w:r>
        <w:rPr>
          <w:rFonts w:ascii="Times New Roman" w:hAnsi="Times New Roman"/>
          <w:b w:val="false"/>
          <w:i w:val="false"/>
          <w:color w:val="000000"/>
          <w:sz w:val="22"/>
        </w:rPr>
        <w:t> </w:t>
      </w:r>
      <w:r>
        <w:rPr>
          <w:rFonts w:ascii="Times New Roman" w:hAnsi="Times New Roman"/>
          <w:b w:val="false"/>
          <w:i/>
          <w:color w:val="000000"/>
          <w:sz w:val="22"/>
        </w:rPr>
        <w:t xml:space="preserve">Commercial mortgage-related security.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10/15/14</w:t>
      </w:r>
      <w:r>
        <w:rPr>
          <w:rFonts w:ascii="Times New Roman" w:hAnsi="Times New Roman"/>
          <w:b w:val="false"/>
          <w:i w:val="false"/>
          <w:color w:val="000000"/>
          <w:sz w:val="22"/>
        </w:rPr>
        <w:t>, effective 11/19/14.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17.16(5)</w:t>
      </w:r>
      <w:r>
        <w:rPr>
          <w:rFonts w:ascii="Times New Roman" w:hAnsi="Times New Roman"/>
          <w:b w:val="false"/>
          <w:i w:val="false"/>
          <w:color w:val="000000"/>
          <w:sz w:val="22"/>
        </w:rPr>
        <w:t> </w:t>
      </w:r>
      <w:r>
        <w:rPr>
          <w:rFonts w:ascii="Times New Roman" w:hAnsi="Times New Roman"/>
          <w:b w:val="false"/>
          <w:i/>
          <w:color w:val="000000"/>
          <w:sz w:val="22"/>
        </w:rPr>
        <w:t xml:space="preserve">Stripped mortgage-backed securities. </w:t>
      </w:r>
      <w:r>
        <w:rPr>
          <w:rFonts w:ascii="Times New Roman" w:hAnsi="Times New Roman"/>
          <w:b w:val="false"/>
          <w:i w:val="false"/>
          <w:color w:val="000000"/>
          <w:sz w:val="22"/>
        </w:rPr>
        <w:t xml:space="preserve">A credit union may not invest in stripped mortgage-backed securities (SMBS) or securities that represent interests in SMBS except as described in </w:t>
      </w:r>
      <w:hyperlink r:id="rId49">
        <w:r>
          <w:rPr>
            <w:rStyle w:val="Hyperlink"/>
            <w:rFonts w:ascii="Times New Roman" w:hAnsi="Times New Roman"/>
            <w:b w:val="false"/>
            <w:i w:val="false"/>
            <w:color w:val="000000"/>
            <w:sz w:val="22"/>
          </w:rPr>
          <w:t>17.16(5)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credit union may invest in and hold exchangeable collateralized mortgage obligations (exchangeable CMOs) representing beneficial ownership interests in one or more interest-only classes of a CMO (IO CMOs) or principal-only classes of a CMO (PO CMOs), but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purchase, the ratio of the market price to the remaining principal balance is between .8 and 1.2, meaning that the discount or premium of the market price to par must be less than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offering circular or other official information available at the time of purchase indicates that the notional principal on each underlying IO CMO declines at the same rate as the principal on one or more of the underlying non-IO CMOs, and the principal on each underlying PO CMO declines at the same rate as the principal, or notional principal, on one or more of the underlying non-PO CMOs;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union staff has the expertise dealing with exchangeable CMOs to apply the conditions in </w:t>
      </w:r>
      <w:hyperlink r:id="rId50">
        <w:r>
          <w:rPr>
            <w:rStyle w:val="Hyperlink"/>
            <w:rFonts w:ascii="Times New Roman" w:hAnsi="Times New Roman"/>
            <w:b w:val="false"/>
            <w:i w:val="false"/>
            <w:color w:val="000000"/>
            <w:sz w:val="22"/>
          </w:rPr>
          <w:t>17.16(5)</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17.16(5)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credit union that invests in an exchangeable CMO may exercise the exchange option only if all of the underlying CMOs are permissible investments for that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credit union may accept an exchangeable CMO representing beneficial ownership interests in one or more IO CMOs or PO CMOs as an asset associated with an investment repurchase transaction or as collateral in a securities lending transaction. When the exchangeable CMO is associated with one of these two transactions, it need not conform to the conditions in </w:t>
      </w:r>
      <w:hyperlink r:id="rId52">
        <w:r>
          <w:rPr>
            <w:rStyle w:val="Hyperlink"/>
            <w:rFonts w:ascii="Times New Roman" w:hAnsi="Times New Roman"/>
            <w:b w:val="false"/>
            <w:i w:val="false"/>
            <w:color w:val="000000"/>
            <w:sz w:val="22"/>
          </w:rPr>
          <w:t>17.16(5)</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17.16(5)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17.16(6)</w:t>
      </w:r>
      <w:r>
        <w:rPr>
          <w:rFonts w:ascii="Times New Roman" w:hAnsi="Times New Roman"/>
          <w:b w:val="false"/>
          <w:i w:val="false"/>
          <w:color w:val="000000"/>
          <w:sz w:val="22"/>
        </w:rPr>
        <w:t> </w:t>
      </w:r>
      <w:r>
        <w:rPr>
          <w:rFonts w:ascii="Times New Roman" w:hAnsi="Times New Roman"/>
          <w:b w:val="false"/>
          <w:i/>
          <w:color w:val="000000"/>
          <w:sz w:val="22"/>
        </w:rPr>
        <w:t xml:space="preserve">Insurance company annuity product. </w:t>
      </w:r>
      <w:r>
        <w:rPr>
          <w:rFonts w:ascii="Times New Roman" w:hAnsi="Times New Roman"/>
          <w:b w:val="false"/>
          <w:i w:val="false"/>
          <w:color w:val="000000"/>
          <w:sz w:val="22"/>
        </w:rPr>
        <w:t>A credit union may not purchase an insurance company annuity product as an investment of the credit union. However, a credit union, in its capacity as an employer, may establish retirement or defined employee benefit programs, which may include the purchase of an annuity for the specific purpose of funding an employee benefit plan,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is usually entirely funded by the credit union and the underlying investments are owned by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direct connection between the purchase of the investment and the employee benefit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employee leaves the credit union before the specified time, fails to exercise an option or to vest in the plan, dies, or in some manner forfeits the right to the planned benefit, the credit union must take the steps necessary to dispose of any investment(s) not needed to meet an actual or potential obligation under the employee benefit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credit union may, under certain circumstances, hold an otherwise impermissible investment purchased to fund an employee benefit plan after an employee retires or separates from the credit union. For example, when a qualified employee is allowed to exercise an investment option following separation, the investment may be held in order to satisfy this benefit plan provision. In most cases this is an acceptable practice provided the option period is reasonable. Upon the employee’s exercise of the option or the expiration of the exercise period, the credit union must divest itself of any remaining impermissible investment(s).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17.16(7)</w:t>
      </w:r>
      <w:r>
        <w:rPr>
          <w:rFonts w:ascii="Times New Roman" w:hAnsi="Times New Roman"/>
          <w:b w:val="false"/>
          <w:i w:val="false"/>
          <w:color w:val="000000"/>
          <w:sz w:val="22"/>
        </w:rPr>
        <w:t> </w:t>
      </w:r>
      <w:r>
        <w:rPr>
          <w:rFonts w:ascii="Times New Roman" w:hAnsi="Times New Roman"/>
          <w:b w:val="false"/>
          <w:i/>
          <w:color w:val="000000"/>
          <w:sz w:val="22"/>
        </w:rPr>
        <w:t xml:space="preserve">Other prohibited investments. </w:t>
      </w:r>
      <w:r>
        <w:rPr>
          <w:rFonts w:ascii="Times New Roman" w:hAnsi="Times New Roman"/>
          <w:b w:val="false"/>
          <w:i w:val="false"/>
          <w:color w:val="000000"/>
          <w:sz w:val="22"/>
        </w:rPr>
        <w:t>A credit union may not purchase residual interests in collateralized mortgage obligations, real estate mortgage investment conduits, or small business-related securities.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1678C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189—17.17</w:t>
      </w:r>
      <w:r>
        <w:rPr>
          <w:rFonts w:ascii="Times New Roman" w:hAnsi="Times New Roman"/>
          <w:b/>
          <w:i w:val="false"/>
          <w:color w:val="000000"/>
          <w:sz w:val="22"/>
        </w:rPr>
        <w:t xml:space="preserve">(533) </w:t>
      </w:r>
      <w:r>
        <w:rPr>
          <w:rFonts w:ascii="Times New Roman" w:hAnsi="Times New Roman"/>
          <w:b/>
          <w:i w:val="false"/>
          <w:color w:val="000000"/>
          <w:sz w:val="22"/>
        </w:rPr>
        <w:t xml:space="preserve">Conflicts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17.17(1)</w:t>
      </w:r>
      <w:r>
        <w:rPr>
          <w:rFonts w:ascii="Times New Roman" w:hAnsi="Times New Roman"/>
          <w:b w:val="false"/>
          <w:i w:val="false"/>
          <w:color w:val="000000"/>
          <w:sz w:val="22"/>
        </w:rPr>
        <w:t> </w:t>
      </w:r>
      <w:r>
        <w:rPr>
          <w:rFonts w:ascii="Times New Roman" w:hAnsi="Times New Roman"/>
          <w:b w:val="false"/>
          <w:i w:val="false"/>
          <w:color w:val="000000"/>
          <w:sz w:val="22"/>
        </w:rPr>
        <w:t>A credit union’s officials and senior management employees, and their immediate family members, may not receive anything of value in connection with their investment transactions. This prohibition also applies to any other employee, such as an investment officer, if the employee is directly involved in investments, unless the credit union’s board of directors determines that the employee’s involvement does not present a conflict of interest. This prohibition does not include compensation for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17.17(2)</w:t>
      </w:r>
      <w:r>
        <w:rPr>
          <w:rFonts w:ascii="Times New Roman" w:hAnsi="Times New Roman"/>
          <w:b w:val="false"/>
          <w:i w:val="false"/>
          <w:color w:val="000000"/>
          <w:sz w:val="22"/>
        </w:rPr>
        <w:t> </w:t>
      </w:r>
      <w:r>
        <w:rPr>
          <w:rFonts w:ascii="Times New Roman" w:hAnsi="Times New Roman"/>
          <w:b w:val="false"/>
          <w:i w:val="false"/>
          <w:color w:val="000000"/>
          <w:sz w:val="22"/>
        </w:rPr>
        <w:t xml:space="preserve">A credit union’s officials and employees must conduct all transactions with business associates or family members that are not specifically prohibited by </w:t>
      </w:r>
      <w:hyperlink r:id="rId54">
        <w:r>
          <w:rPr>
            <w:rStyle w:val="Hyperlink"/>
            <w:rFonts w:ascii="Times New Roman" w:hAnsi="Times New Roman"/>
            <w:b w:val="false"/>
            <w:i w:val="false"/>
            <w:color w:val="000000"/>
            <w:sz w:val="22"/>
          </w:rPr>
          <w:t>17.17(1)</w:t>
        </w:r>
      </w:hyperlink>
      <w:r>
        <w:rPr>
          <w:rFonts w:ascii="Times New Roman" w:hAnsi="Times New Roman"/>
          <w:b w:val="false"/>
          <w:i w:val="false"/>
          <w:color w:val="000000"/>
          <w:sz w:val="22"/>
        </w:rPr>
        <w:t xml:space="preserve"> at arm’s length and in the credit union’s best interest.</w:t>
      </w:r>
    </w:p>
    <w:p>
      <w:pPr>
        <w:spacing w:before="210" w:after="0"/>
        <w:ind w:left="120"/>
        <w:jc w:val="both"/>
      </w:pPr>
      <w:r>
        <w:rPr>
          <w:rFonts w:ascii="Times New Roman" w:hAnsi="Times New Roman"/>
          <w:b/>
          <w:i w:val="false"/>
          <w:color w:val="000000"/>
          <w:sz w:val="22"/>
        </w:rPr>
        <w:t>189—17.18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189—17.19</w:t>
      </w:r>
      <w:r>
        <w:rPr>
          <w:rFonts w:ascii="Times New Roman" w:hAnsi="Times New Roman"/>
          <w:b/>
          <w:i w:val="false"/>
          <w:color w:val="000000"/>
          <w:sz w:val="22"/>
        </w:rPr>
        <w:t xml:space="preserve">(533) </w:t>
      </w:r>
      <w:r>
        <w:rPr>
          <w:rFonts w:ascii="Times New Roman" w:hAnsi="Times New Roman"/>
          <w:b/>
          <w:i w:val="false"/>
          <w:color w:val="000000"/>
          <w:sz w:val="22"/>
        </w:rPr>
        <w:t xml:space="preserve">Investment pilot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17.19(1)</w:t>
      </w:r>
      <w:r>
        <w:rPr>
          <w:rFonts w:ascii="Times New Roman" w:hAnsi="Times New Roman"/>
          <w:b w:val="false"/>
          <w:i w:val="false"/>
          <w:color w:val="000000"/>
          <w:sz w:val="22"/>
        </w:rPr>
        <w:t> </w:t>
      </w:r>
      <w:r>
        <w:rPr>
          <w:rFonts w:ascii="Times New Roman" w:hAnsi="Times New Roman"/>
          <w:b w:val="false"/>
          <w:i w:val="false"/>
          <w:color w:val="000000"/>
          <w:sz w:val="22"/>
        </w:rPr>
        <w:t>Under an investment pilot program, the credit union division will permit a limited number of credit unions to engage in investment activities prohibited by this rule but otherwise permitted by the Federal Credit Union Act, 12 U.S.C. Section 1757.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17.19(2)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55">
        <w:r>
          <w:rPr>
            <w:rStyle w:val="Hyperlink"/>
            <w:rFonts w:ascii="Times New Roman" w:hAnsi="Times New Roman"/>
            <w:b w:val="false"/>
            <w:i w:val="false"/>
            <w:color w:val="000000"/>
            <w:sz w:val="22"/>
          </w:rPr>
          <w:t>17.19(4)</w:t>
        </w:r>
      </w:hyperlink>
      <w:r>
        <w:rPr>
          <w:rFonts w:ascii="Times New Roman" w:hAnsi="Times New Roman"/>
          <w:b w:val="false"/>
          <w:i w:val="false"/>
          <w:color w:val="000000"/>
          <w:sz w:val="22"/>
        </w:rPr>
        <w:t>, before a credit union may engage in an additional activity it must obtain written approval from the superintendent. To obtain approval, a credit union must submit its written request to the superintendent that addresses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credit union is “well-capitalized’’ under NCUA rules and regulations, 12 CFR Part 702;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Board policies approving the activities and establishing limits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activities, with specific examples of how they will benefit the credit union and how they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demonstration of how the activities will affect the credit union’s financial performance, risk profile, and asset-liability management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Examples of reports the credit union will generate to monitor the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Projections of the associated costs of the activities, including personnel, computer, and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Descriptions of the internal systems that will measure, monitor, and report the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Qualifications of the staff and officials responsible for implementing and overseeing the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Internal control procedures that will be implemented, including audit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17.19(3)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superintendent supports the credit union’s request to engage in the additional activity as provided in </w:t>
      </w:r>
      <w:hyperlink r:id="rId56">
        <w:r>
          <w:rPr>
            <w:rStyle w:val="Hyperlink"/>
            <w:rFonts w:ascii="Times New Roman" w:hAnsi="Times New Roman"/>
            <w:b w:val="false"/>
            <w:i w:val="false"/>
            <w:color w:val="000000"/>
            <w:sz w:val="22"/>
          </w:rPr>
          <w:t>17.19(2)</w:t>
        </w:r>
      </w:hyperlink>
      <w:r>
        <w:rPr>
          <w:rFonts w:ascii="Times New Roman" w:hAnsi="Times New Roman"/>
          <w:b w:val="false"/>
          <w:i w:val="false"/>
          <w:color w:val="000000"/>
          <w:sz w:val="22"/>
        </w:rPr>
        <w:t>, the superintendent will forward the request to the NCUA regional director for review and nonobjection. If the regional director determines that the additional activity would be approved for the credit union if it were federally chartered and does not object otherwise, the superintendent may approve the credit union’s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17.19(4)</w:t>
      </w:r>
      <w:r>
        <w:rPr>
          <w:rFonts w:ascii="Times New Roman" w:hAnsi="Times New Roman"/>
          <w:b w:val="false"/>
          <w:i w:val="false"/>
          <w:color w:val="000000"/>
          <w:sz w:val="22"/>
        </w:rPr>
        <w:t> </w:t>
      </w:r>
      <w:r>
        <w:rPr>
          <w:rFonts w:ascii="Times New Roman" w:hAnsi="Times New Roman"/>
          <w:b w:val="false"/>
          <w:i w:val="false"/>
          <w:color w:val="000000"/>
          <w:sz w:val="22"/>
        </w:rPr>
        <w:t>Subsequent to the publication date of these rules, a credit union will not need to seek written approval of the superintendent to engage in an investment activity prohibited by the rules but permitted by the Federal Credit Union Act if the activity is part of a third-party investment program the NCUA approves for federal credit unions after the third party submits a request to the NCUA Director of the Office of Strategic Program Support and Planning that addresses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activities with specific examples of how a federal credit union will conduct and account for them, and how the activities will benefit a federal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any risks to a federal credit union from participating in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Contracts that must be executed by the federal credit union.</w:t>
      </w:r>
    </w:p>
    <w:p>
      <w:pPr>
        <w:spacing w:before="0" w:after="0"/>
        <w:ind w:left="120"/>
        <w:jc w:val="both"/>
      </w:pPr>
      <w:r>
        <w:rPr>
          <w:rFonts w:ascii="Times New Roman" w:hAnsi="Times New Roman"/>
          <w:b/>
          <w:i w:val="false"/>
          <w:color w:val="000000"/>
          <w:sz w:val="22"/>
        </w:rPr>
        <w:t>189—17.20</w:t>
      </w:r>
      <w:r>
        <w:rPr>
          <w:rFonts w:ascii="Times New Roman" w:hAnsi="Times New Roman"/>
          <w:b/>
          <w:i w:val="false"/>
          <w:color w:val="000000"/>
          <w:sz w:val="22"/>
        </w:rPr>
        <w:t xml:space="preserve">(533) </w:t>
      </w:r>
      <w:r>
        <w:rPr>
          <w:rFonts w:ascii="Times New Roman" w:hAnsi="Times New Roman"/>
          <w:b/>
          <w:i w:val="false"/>
          <w:color w:val="000000"/>
          <w:sz w:val="22"/>
        </w:rPr>
        <w:t xml:space="preserve">Responsibility placed upon the credit union to show cause.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17.20(1)</w:t>
      </w:r>
      <w:r>
        <w:rPr>
          <w:rFonts w:ascii="Times New Roman" w:hAnsi="Times New Roman"/>
          <w:b w:val="false"/>
          <w:i w:val="false"/>
          <w:color w:val="000000"/>
          <w:sz w:val="22"/>
        </w:rPr>
        <w:t> </w:t>
      </w:r>
      <w:r>
        <w:rPr>
          <w:rFonts w:ascii="Times New Roman" w:hAnsi="Times New Roman"/>
          <w:b w:val="false"/>
          <w:i w:val="false"/>
          <w:color w:val="000000"/>
          <w:sz w:val="22"/>
        </w:rPr>
        <w:t>A state-chartered credit union that engages in an investment activity that it believes to be permissible for federal credit unions, whether or not addressed by these rules, must provide the superintendent, when requested, satisfactory documentation that the activity is not prohibited by the Iowa Code or by the NCUA,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17.20(2)</w:t>
      </w:r>
      <w:r>
        <w:rPr>
          <w:rFonts w:ascii="Times New Roman" w:hAnsi="Times New Roman"/>
          <w:b w:val="false"/>
          <w:i w:val="false"/>
          <w:color w:val="000000"/>
          <w:sz w:val="22"/>
        </w:rPr>
        <w:t> </w:t>
      </w:r>
      <w:r>
        <w:rPr>
          <w:rFonts w:ascii="Times New Roman" w:hAnsi="Times New Roman"/>
          <w:b w:val="false"/>
          <w:i w:val="false"/>
          <w:color w:val="000000"/>
          <w:sz w:val="22"/>
        </w:rPr>
        <w:t>If a credit union engages in an investment activity, whether expressly permitted by these rules or an investment activity that the credit union believes, in good faith, is permitted, and which at the time of engagement is not or thought not to be prohibited by the Iowa Code or the NCUA, or both, but subsequently becomes or is found to have been prohibited, the credit union must develop a plan to become compliant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17.20(3)</w:t>
      </w:r>
      <w:r>
        <w:rPr>
          <w:rFonts w:ascii="Times New Roman" w:hAnsi="Times New Roman"/>
          <w:b w:val="false"/>
          <w:i w:val="false"/>
          <w:color w:val="000000"/>
          <w:sz w:val="22"/>
        </w:rPr>
        <w:t> </w:t>
      </w:r>
      <w:r>
        <w:rPr>
          <w:rFonts w:ascii="Times New Roman" w:hAnsi="Times New Roman"/>
          <w:b w:val="false"/>
          <w:i w:val="false"/>
          <w:color w:val="000000"/>
          <w:sz w:val="22"/>
        </w:rPr>
        <w:t xml:space="preserve">Although automatic authority is granted to Iowa credit unions by Iowa Code sections </w:t>
      </w:r>
      <w:hyperlink r:id="rId57">
        <w:r>
          <w:rPr>
            <w:rStyle w:val="Hyperlink"/>
            <w:rFonts w:ascii="Times New Roman" w:hAnsi="Times New Roman"/>
            <w:b w:val="false"/>
            <w:i w:val="false"/>
            <w:color w:val="000000"/>
            <w:sz w:val="22"/>
          </w:rPr>
          <w:t>533.301(5)</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533.301(25)</w:t>
        </w:r>
      </w:hyperlink>
      <w:r>
        <w:rPr>
          <w:rFonts w:ascii="Times New Roman" w:hAnsi="Times New Roman"/>
          <w:b w:val="false"/>
          <w:i w:val="false"/>
          <w:color w:val="000000"/>
          <w:sz w:val="22"/>
        </w:rPr>
        <w:t xml:space="preserve"> and these rules, such authority may be withheld or withdrawn by the superintendent for safety and soundness concerns or for blatant disregard for these rules, in whole or in part, by a credit union.</w:t>
      </w:r>
    </w:p>
    <w:p>
      <w:pPr>
        <w:spacing w:before="0" w:after="0"/>
        <w:ind w:left="120"/>
        <w:jc w:val="both"/>
      </w:pPr>
      <w:r>
        <w:rPr>
          <w:rFonts w:ascii="Times New Roman" w:hAnsi="Times New Roman"/>
          <w:b/>
          <w:i w:val="false"/>
          <w:color w:val="000000"/>
          <w:sz w:val="22"/>
        </w:rPr>
        <w:t>189—17.21</w:t>
      </w:r>
      <w:r>
        <w:rPr>
          <w:rFonts w:ascii="Times New Roman" w:hAnsi="Times New Roman"/>
          <w:b/>
          <w:i w:val="false"/>
          <w:color w:val="000000"/>
          <w:sz w:val="22"/>
        </w:rPr>
        <w:t xml:space="preserve">(533) </w:t>
      </w:r>
      <w:r>
        <w:rPr>
          <w:rFonts w:ascii="Times New Roman" w:hAnsi="Times New Roman"/>
          <w:b/>
          <w:i w:val="false"/>
          <w:color w:val="000000"/>
          <w:sz w:val="22"/>
        </w:rPr>
        <w:t xml:space="preserve">Director, officer, or employee overdraft. </w:t>
      </w:r>
      <w:r>
        <w:rPr>
          <w:rFonts w:ascii="Times New Roman" w:hAnsi="Times New Roman"/>
          <w:b w:val="false"/>
          <w:i w:val="false"/>
          <w:color w:val="000000"/>
          <w:sz w:val="22"/>
        </w:rPr>
        <w:t xml:space="preserve">A state credit union may pay an overdraft of a director, officer, or employee of the state credit union on an account at the state credit union when the payment of funds is made in accordance with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A written, preauthorized, interest-bearing extension of credit plan that specifies a method of repayment.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A written, preauthorized transfer of collected funds from another account of the account holder at the state credit union.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The overdraft is paid pursuant to an overdraft protection plan or courtesy pay program. Such payment is limited to one time per quarter, and the overdraft shall last no longer than ten days. Each credit union board of directors shall enact a policy regarding failure to comply with the provisions of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533.205(7)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3734C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0">
        <w:r>
          <w:rPr>
            <w:rStyle w:val="Hyperlink"/>
            <w:rFonts w:ascii="Times New Roman" w:hAnsi="Times New Roman"/>
            <w:b w:val="false"/>
            <w:i w:val="false"/>
            <w:color w:val="000000"/>
            <w:sz w:val="22"/>
          </w:rPr>
          <w:t>533.301(5)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2/5/88, Notice 11/18/87—published 2/24/88, effective 3/30/88]</w:t>
      </w:r>
    </w:p>
    <w:p>
      <w:pPr>
        <w:spacing w:before="0" w:after="0"/>
        <w:ind w:left="120"/>
        <w:jc w:val="center"/>
      </w:pPr>
      <w:r>
        <w:rPr>
          <w:rFonts w:ascii="Times New Roman" w:hAnsi="Times New Roman"/>
          <w:b w:val="false"/>
          <w:i w:val="false"/>
          <w:color w:val="000000"/>
          <w:sz w:val="21"/>
        </w:rPr>
        <w:t>[Filed 1/31/03, Notice 12/25/02—published 2/19/03, effective 3/26/03]</w:t>
      </w:r>
    </w:p>
    <w:p>
      <w:pPr>
        <w:spacing w:before="0" w:after="0"/>
        <w:ind w:left="120"/>
        <w:jc w:val="center"/>
      </w:pPr>
      <w:r>
        <w:rPr>
          <w:rFonts w:ascii="Times New Roman" w:hAnsi="Times New Roman"/>
          <w:b w:val="false"/>
          <w:i w:val="false"/>
          <w:color w:val="000000"/>
          <w:sz w:val="21"/>
        </w:rPr>
        <w:t>[Filed 11/4/04, Notice 9/15/04—published 11/24/04, effective 12/29/04]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1678C</w:t>
      </w:r>
      <w:r>
        <w:rPr>
          <w:rFonts w:ascii="Times New Roman" w:hAnsi="Times New Roman"/>
          <w:b w:val="false"/>
          <w:i w:val="false"/>
          <w:color w:val="000000"/>
          <w:sz w:val="21"/>
        </w:rPr>
        <w:t xml:space="preserve"> (Notice ARC 1580C,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3734C</w:t>
      </w:r>
      <w:r>
        <w:rPr>
          <w:rFonts w:ascii="Times New Roman" w:hAnsi="Times New Roman"/>
          <w:b w:val="false"/>
          <w:i w:val="false"/>
          <w:color w:val="000000"/>
          <w:sz w:val="21"/>
        </w:rPr>
        <w:t xml:space="preserve"> (Notice ARC 3600C, IAB 1/31/18)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6553C</w:t>
      </w:r>
      <w:r>
        <w:rPr>
          <w:rFonts w:ascii="Times New Roman" w:hAnsi="Times New Roman"/>
          <w:b w:val="false"/>
          <w:i w:val="false"/>
          <w:color w:val="000000"/>
          <w:sz w:val="21"/>
        </w:rPr>
        <w:t xml:space="preserve"> (Notice ARC 6443C, IAB 8/10/22)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pdf" Type="http://schemas.openxmlformats.org/officeDocument/2006/relationships/hyperlink" Id="rId5"/>
    <Relationship TargetMode="External" Target="https://www.legis.iowa.gov/docs/ico/chapter/533.301.pdf" Type="http://schemas.openxmlformats.org/officeDocument/2006/relationships/hyperlink" Id="rId6"/>
    <Relationship TargetMode="External" Target="https://www.legis.iowa.gov/docs/ico/chapter/533.301.pdf" Type="http://schemas.openxmlformats.org/officeDocument/2006/relationships/hyperlink" Id="rId7"/>
    <Relationship TargetMode="External" Target="https://www.legis.iowa.gov/docs/ico/chapter/533.104.pdf" Type="http://schemas.openxmlformats.org/officeDocument/2006/relationships/hyperlink" Id="rId8"/>
    <Relationship TargetMode="External" Target="https://www.legis.iowa.gov/docs/ico/chapter/533.pdf" Type="http://schemas.openxmlformats.org/officeDocument/2006/relationships/hyperlink" Id="rId9"/>
    <Relationship TargetMode="External" Target="https://www.legis.iowa.gov/docs/ico/chapter/533.301.pdf" Type="http://schemas.openxmlformats.org/officeDocument/2006/relationships/hyperlink" Id="rId10"/>
    <Relationship TargetMode="External" Target="https://www.legis.iowa.gov/docs/ico/chapter/533.301.pdf" Type="http://schemas.openxmlformats.org/officeDocument/2006/relationships/hyperlink" Id="rId11"/>
    <Relationship TargetMode="External" Target="https://www.legis.iowa.gov/docs/ico/chapter/533.301.pdf" Type="http://schemas.openxmlformats.org/officeDocument/2006/relationships/hyperlink" Id="rId12"/>
    <Relationship TargetMode="External" Target="https://www.legis.iowa.gov/docs/ico/chapter/533.301.pdf" Type="http://schemas.openxmlformats.org/officeDocument/2006/relationships/hyperlink" Id="rId13"/>
    <Relationship TargetMode="External" Target="https://www.legis.iowa.gov/docs/ico/chapter/533.315.pdf" Type="http://schemas.openxmlformats.org/officeDocument/2006/relationships/hyperlink" Id="rId14"/>
    <Relationship TargetMode="External" Target="https://www.legis.iowa.gov/docs/ico/chapter/533.301.pdf" Type="http://schemas.openxmlformats.org/officeDocument/2006/relationships/hyperlink" Id="rId15"/>
    <Relationship TargetMode="External" Target="https://www.legis.iowa.gov/docs/ico/chapter/533.301.pdf" Type="http://schemas.openxmlformats.org/officeDocument/2006/relationships/hyperlink" Id="rId16"/>
    <Relationship TargetMode="External" Target="https://www.legis.iowa.gov/docs/ico/chapter/17A.2.pdf" Type="http://schemas.openxmlformats.org/officeDocument/2006/relationships/hyperlink" Id="rId17"/>
    <Relationship TargetMode="External" Target="https://www.legis.iowa.gov/docs/iac/rule/189.1.1.pdf" Type="http://schemas.openxmlformats.org/officeDocument/2006/relationships/hyperlink" Id="rId18"/>
    <Relationship TargetMode="External" Target="https://www.legis.iowa.gov/docs/iac/rule/189.17.1.pdf" Type="http://schemas.openxmlformats.org/officeDocument/2006/relationships/hyperlink" Id="rId19"/>
    <Relationship TargetMode="External" Target="https://www.legis.iowa.gov/docs/ico/chapter/533.301.pdf" Type="http://schemas.openxmlformats.org/officeDocument/2006/relationships/hyperlink" Id="rId20"/>
    <Relationship TargetMode="External" Target="https://www.legis.iowa.gov/docs/ico/chapter/533.301.pdf" Type="http://schemas.openxmlformats.org/officeDocument/2006/relationships/hyperlink" Id="rId21"/>
    <Relationship TargetMode="External" Target="https://www.legis.iowa.gov/docs/ico/chapter/533.304.pdf" Type="http://schemas.openxmlformats.org/officeDocument/2006/relationships/hyperlink" Id="rId22"/>
    <Relationship TargetMode="External" Target="https://www.legis.iowa.gov/docs/ico/chapter/533.305.pdf" Type="http://schemas.openxmlformats.org/officeDocument/2006/relationships/hyperlink" Id="rId23"/>
    <Relationship TargetMode="External" Target="https://www.legis.iowa.gov/docs/ico/chapter/533.pdf" Type="http://schemas.openxmlformats.org/officeDocument/2006/relationships/hyperlink" Id="rId24"/>
    <Relationship TargetMode="External" Target="https://www.legis.iowa.gov/docs/ico/chapter/533.pdf" Type="http://schemas.openxmlformats.org/officeDocument/2006/relationships/hyperlink" Id="rId25"/>
    <Relationship TargetMode="External" Target="https://www.legis.iowa.gov/docs/ico/chapter/533.208.pdf" Type="http://schemas.openxmlformats.org/officeDocument/2006/relationships/hyperlink" Id="rId26"/>
    <Relationship TargetMode="External" Target="https://www.legis.iowa.gov/docs/ico/chapter/533.208.pdf" Type="http://schemas.openxmlformats.org/officeDocument/2006/relationships/hyperlink" Id="rId27"/>
    <Relationship TargetMode="External" Target="https://www.legis.iowa.gov/docs/iac/rule/189.17.5.pdf" Type="http://schemas.openxmlformats.org/officeDocument/2006/relationships/hyperlink" Id="rId28"/>
    <Relationship TargetMode="External" Target="https://www.legis.iowa.gov/docs/iac/rule/189.17.5.pdf" Type="http://schemas.openxmlformats.org/officeDocument/2006/relationships/hyperlink" Id="rId29"/>
    <Relationship TargetMode="External" Target="https://www.legis.iowa.gov/docs/iac/rule/189.17.5.pdf" Type="http://schemas.openxmlformats.org/officeDocument/2006/relationships/hyperlink" Id="rId30"/>
    <Relationship TargetMode="External" Target="https://www.legis.iowa.gov/docs/iac/rule/189.17.8.pdf" Type="http://schemas.openxmlformats.org/officeDocument/2006/relationships/hyperlink" Id="rId31"/>
    <Relationship TargetMode="External" Target="https://www.legis.iowa.gov/docs/iac/rule/189.17.10.pdf" Type="http://schemas.openxmlformats.org/officeDocument/2006/relationships/hyperlink" Id="rId32"/>
    <Relationship TargetMode="External" Target="https://www.legis.iowa.gov/docs/iac/rule/189.17.10.pdf" Type="http://schemas.openxmlformats.org/officeDocument/2006/relationships/hyperlink" Id="rId33"/>
    <Relationship TargetMode="External" Target="https://www.legis.iowa.gov/docs/iac/rule/189.17.12.pdf" Type="http://schemas.openxmlformats.org/officeDocument/2006/relationships/hyperlink" Id="rId34"/>
    <Relationship TargetMode="External" Target="https://www.legis.iowa.gov/docs/iac/rule/189.17.12.pdf" Type="http://schemas.openxmlformats.org/officeDocument/2006/relationships/hyperlink" Id="rId35"/>
    <Relationship TargetMode="External" Target="https://www.legis.iowa.gov/docs/iac/rule/189.17.12.pdf" Type="http://schemas.openxmlformats.org/officeDocument/2006/relationships/hyperlink" Id="rId36"/>
    <Relationship TargetMode="External" Target="https://www.legis.iowa.gov/docs/iac/rule/189.17.13.pdf" Type="http://schemas.openxmlformats.org/officeDocument/2006/relationships/hyperlink" Id="rId37"/>
    <Relationship TargetMode="External" Target="https://www.legis.iowa.gov/docs/ico/chapter/533.306.pdf" Type="http://schemas.openxmlformats.org/officeDocument/2006/relationships/hyperlink" Id="rId38"/>
    <Relationship TargetMode="External" Target="https://www.legis.iowa.gov/docs/iac/rule/189.17.13.pdf" Type="http://schemas.openxmlformats.org/officeDocument/2006/relationships/hyperlink" Id="rId39"/>
    <Relationship TargetMode="External" Target="https://www.legis.iowa.gov/docs/ico/chapter/533.306.pdf" Type="http://schemas.openxmlformats.org/officeDocument/2006/relationships/hyperlink" Id="rId40"/>
    <Relationship TargetMode="External" Target="https://www.legis.iowa.gov/docs/ico/chapter/533.301.pdf" Type="http://schemas.openxmlformats.org/officeDocument/2006/relationships/hyperlink" Id="rId41"/>
    <Relationship TargetMode="External" Target="https://www.legis.iowa.gov/docs/iac/rule/189.17.14.pdf" Type="http://schemas.openxmlformats.org/officeDocument/2006/relationships/hyperlink" Id="rId42"/>
    <Relationship TargetMode="External" Target="https://www.legis.iowa.gov/docs/ico/chapter/533.pdf" Type="http://schemas.openxmlformats.org/officeDocument/2006/relationships/hyperlink" Id="rId43"/>
    <Relationship TargetMode="External" Target="https://www.legis.iowa.gov/docs/iac/rule/189.17.13.pdf" Type="http://schemas.openxmlformats.org/officeDocument/2006/relationships/hyperlink" Id="rId44"/>
    <Relationship TargetMode="External" Target="https://www.legis.iowa.gov/docs/iac/rule/189.17.13.pdf" Type="http://schemas.openxmlformats.org/officeDocument/2006/relationships/hyperlink" Id="rId45"/>
    <Relationship TargetMode="External" Target="https://www.legis.iowa.gov/docs/iac/rule/189.17.2.pdf" Type="http://schemas.openxmlformats.org/officeDocument/2006/relationships/hyperlink" Id="rId46"/>
    <Relationship TargetMode="External" Target="https://www.legis.iowa.gov/docs/iac/rule/189.17.19.pdf" Type="http://schemas.openxmlformats.org/officeDocument/2006/relationships/hyperlink" Id="rId47"/>
    <Relationship TargetMode="External" Target="https://www.legis.iowa.gov/docs/iac/rule/189.17.14.pdf" Type="http://schemas.openxmlformats.org/officeDocument/2006/relationships/hyperlink" Id="rId48"/>
    <Relationship TargetMode="External" Target="https://www.legis.iowa.gov/docs/iac/rule/189.17.16.pdf" Type="http://schemas.openxmlformats.org/officeDocument/2006/relationships/hyperlink" Id="rId49"/>
    <Relationship TargetMode="External" Target="https://www.legis.iowa.gov/docs/iac/rule/189.17.16.pdf" Type="http://schemas.openxmlformats.org/officeDocument/2006/relationships/hyperlink" Id="rId50"/>
    <Relationship TargetMode="External" Target="https://www.legis.iowa.gov/docs/iac/rule/189.17.16.pdf" Type="http://schemas.openxmlformats.org/officeDocument/2006/relationships/hyperlink" Id="rId51"/>
    <Relationship TargetMode="External" Target="https://www.legis.iowa.gov/docs/iac/rule/189.17.16.pdf" Type="http://schemas.openxmlformats.org/officeDocument/2006/relationships/hyperlink" Id="rId52"/>
    <Relationship TargetMode="External" Target="https://www.legis.iowa.gov/docs/iac/rule/189.17.16.pdf" Type="http://schemas.openxmlformats.org/officeDocument/2006/relationships/hyperlink" Id="rId53"/>
    <Relationship TargetMode="External" Target="https://www.legis.iowa.gov/docs/iac/rule/189.17.17.pdf" Type="http://schemas.openxmlformats.org/officeDocument/2006/relationships/hyperlink" Id="rId54"/>
    <Relationship TargetMode="External" Target="https://www.legis.iowa.gov/docs/iac/rule/189.17.19.pdf" Type="http://schemas.openxmlformats.org/officeDocument/2006/relationships/hyperlink" Id="rId55"/>
    <Relationship TargetMode="External" Target="https://www.legis.iowa.gov/docs/iac/rule/189.17.19.pdf" Type="http://schemas.openxmlformats.org/officeDocument/2006/relationships/hyperlink" Id="rId56"/>
    <Relationship TargetMode="External" Target="https://www.legis.iowa.gov/docs/ico/chapter/533.301.pdf" Type="http://schemas.openxmlformats.org/officeDocument/2006/relationships/hyperlink" Id="rId57"/>
    <Relationship TargetMode="External" Target="https://www.legis.iowa.gov/docs/ico/chapter/533.301.pdf" Type="http://schemas.openxmlformats.org/officeDocument/2006/relationships/hyperlink" Id="rId58"/>
    <Relationship TargetMode="External" Target="https://www.legis.iowa.gov/docs/ico/chapter/533.205.pdf" Type="http://schemas.openxmlformats.org/officeDocument/2006/relationships/hyperlink" Id="rId59"/>
    <Relationship TargetMode="External" Target="https://www.legis.iowa.gov/docs/ico/chapter/533.301.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