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VOTES OF THE MEMBERSHIP</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189—12.1</w:t>
      </w:r>
      <w:r>
        <w:rPr>
          <w:rFonts w:ascii="Times New Roman" w:hAnsi="Times New Roman"/>
          <w:b/>
          <w:i w:val="false"/>
          <w:color w:val="000000"/>
          <w:sz w:val="22"/>
        </w:rPr>
        <w:t xml:space="preserve">(533) </w:t>
      </w:r>
      <w:r>
        <w:rPr>
          <w:rFonts w:ascii="Times New Roman" w:hAnsi="Times New Roman"/>
          <w:b/>
          <w:i w:val="false"/>
          <w:color w:val="000000"/>
          <w:sz w:val="22"/>
        </w:rPr>
        <w:t xml:space="preserve">Voting requirements and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All elections are determined by plurality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A member shall have one vote regardless of the number of or class of shares held by the member. Jointly held ownership shares are entitled to one vote, and joint tenants shall not be permitted to cast more than one vote per ownership share jointly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Members shall not vote by proxy.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val="false"/>
          <w:color w:val="000000"/>
          <w:sz w:val="22"/>
        </w:rPr>
        <w:t>A member other than a natural person may cast a single vote through a delegated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12.1(5)</w:t>
      </w:r>
      <w:r>
        <w:rPr>
          <w:rFonts w:ascii="Times New Roman" w:hAnsi="Times New Roman"/>
          <w:b w:val="false"/>
          <w:i w:val="false"/>
          <w:color w:val="000000"/>
          <w:sz w:val="22"/>
        </w:rPr>
        <w:t> </w:t>
      </w:r>
      <w:r>
        <w:rPr>
          <w:rFonts w:ascii="Times New Roman" w:hAnsi="Times New Roman"/>
          <w:b w:val="false"/>
          <w:i w:val="false"/>
          <w:color w:val="000000"/>
          <w:sz w:val="22"/>
        </w:rPr>
        <w:t>Members shall be at least 16 years of age by the date of the meeting in order to vote, sign nominating petitions, or sign petitions requesting special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w:t>
      </w:r>
      <w:r>
        <w:rPr>
          <w:rFonts w:ascii="Times New Roman" w:hAnsi="Times New Roman"/>
          <w:b w:val="false"/>
          <w:i w:val="false"/>
          <w:color w:val="000000"/>
          <w:sz w:val="22"/>
        </w:rPr>
        <w:t> </w:t>
      </w:r>
      <w:r>
        <w:rPr>
          <w:rFonts w:ascii="Times New Roman" w:hAnsi="Times New Roman"/>
          <w:b w:val="false"/>
          <w:i w:val="false"/>
          <w:color w:val="000000"/>
          <w:sz w:val="22"/>
        </w:rPr>
        <w:t>Members shall be at least 18 years of age by the date of the meeting where the election or appointment will occur in order to hold an elected or appointed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w:t>
      </w:r>
      <w:r>
        <w:rPr>
          <w:rFonts w:ascii="Times New Roman" w:hAnsi="Times New Roman"/>
          <w:b w:val="false"/>
          <w:i w:val="false"/>
          <w:color w:val="000000"/>
          <w:sz w:val="22"/>
        </w:rPr>
        <w:t> </w:t>
      </w:r>
      <w:r>
        <w:rPr>
          <w:rFonts w:ascii="Times New Roman" w:hAnsi="Times New Roman"/>
          <w:b w:val="false"/>
          <w:i w:val="false"/>
          <w:color w:val="000000"/>
          <w:sz w:val="22"/>
        </w:rPr>
        <w:t>The quorum for membership votes shall be no less than twice the members of the board of directors, plus two, as recorded in the credit union’s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12.1(8)</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voting shall be conducted in accordance with rules </w:t>
      </w:r>
      <w:hyperlink r:id="rId5">
        <w:r>
          <w:rPr>
            <w:rStyle w:val="Hyperlink"/>
            <w:rFonts w:ascii="Times New Roman" w:hAnsi="Times New Roman"/>
            <w:b w:val="false"/>
            <w:i w:val="false"/>
            <w:color w:val="000000"/>
            <w:sz w:val="22"/>
          </w:rPr>
          <w:t>189—12.2</w:t>
        </w:r>
      </w:hyperlink>
      <w:r>
        <w:rPr>
          <w:rFonts w:ascii="Times New Roman" w:hAnsi="Times New Roman"/>
          <w:b w:val="false"/>
          <w:i w:val="false"/>
          <w:color w:val="000000"/>
          <w:sz w:val="22"/>
        </w:rPr>
        <w:t xml:space="preserve">(533) and </w:t>
      </w:r>
      <w:hyperlink r:id="rId6">
        <w:r>
          <w:rPr>
            <w:rStyle w:val="Hyperlink"/>
            <w:rFonts w:ascii="Times New Roman" w:hAnsi="Times New Roman"/>
            <w:b w:val="false"/>
            <w:i w:val="false"/>
            <w:color w:val="000000"/>
            <w:sz w:val="22"/>
          </w:rPr>
          <w:t>189—12.3</w:t>
        </w:r>
      </w:hyperlink>
      <w:r>
        <w:rPr>
          <w:rFonts w:ascii="Times New Roman" w:hAnsi="Times New Roman"/>
          <w:b w:val="false"/>
          <w:i w:val="false"/>
          <w:color w:val="000000"/>
          <w:sz w:val="22"/>
        </w:rPr>
        <w:t>(533) and any specific voting requirements established for individual substantive voting.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189—12.2</w:t>
      </w:r>
      <w:r>
        <w:rPr>
          <w:rFonts w:ascii="Times New Roman" w:hAnsi="Times New Roman"/>
          <w:b/>
          <w:i w:val="false"/>
          <w:color w:val="000000"/>
          <w:sz w:val="22"/>
        </w:rPr>
        <w:t xml:space="preserve">(533) </w:t>
      </w:r>
      <w:r>
        <w:rPr>
          <w:rFonts w:ascii="Times New Roman" w:hAnsi="Times New Roman"/>
          <w:b/>
          <w:i w:val="false"/>
          <w:color w:val="000000"/>
          <w:sz w:val="22"/>
        </w:rPr>
        <w:t xml:space="preserve">Voting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Vote by board of directors. </w:t>
      </w:r>
      <w:r>
        <w:rPr>
          <w:rFonts w:ascii="Times New Roman" w:hAnsi="Times New Roman"/>
          <w:b w:val="false"/>
          <w:i w:val="false"/>
          <w:color w:val="000000"/>
          <w:sz w:val="22"/>
        </w:rPr>
        <w:t xml:space="preserve">The board of directors shall, by majority vote, select the method of voting for any vote of the membership, in accordance with Iowa Code section </w:t>
      </w:r>
      <w:hyperlink r:id="rId7">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xml:space="preserve">. Each credit union member shall have a meaningful opportunity to vote in a membership vote.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Election committee. </w:t>
      </w:r>
      <w:r>
        <w:rPr>
          <w:rFonts w:ascii="Times New Roman" w:hAnsi="Times New Roman"/>
          <w:b w:val="false"/>
          <w:i w:val="false"/>
          <w:color w:val="000000"/>
          <w:sz w:val="22"/>
        </w:rPr>
        <w:t>The board shall appoint an election committee of not fewer than five members, none of whom may have a vested interest in the substantive vote and no more than two of whom may be from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duty of the election committee to oversee balloting, to tabulate votes or cause the votes to be tabulated by an independent vendor, to ensure that each member shall only be allowed to vote once, and to ensure that multiple ballots submitted by the same member are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any meeting where voting is also scheduled to take place, the election committee shall tally all properly cast ballots and take the tallies to the meeting. If no meeting is scheduled for voting, the election committee shall tally the votes and certify the vote count to the board no later than five days after the closing date of balloting for ballots submitted other than in person during voting at a meeting held for the purpose of voting, and shall publish the results in accordance with rule </w:t>
      </w:r>
      <w:hyperlink r:id="rId8">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(533). The election committee shall elect a chairperson from among the committee members. The chairperson of the election committee shall announce the results of the vote at the meeting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member or agent of the election committee shall reveal the manner in which any member voted.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directors, by majority vote, has elected to utilize electronic voting, the election committee shall test the integrity of the electronic voting system at regular intervals during the election period. In the event of a malfunction of the electronic voting system, the board may in its discretion order the election to be held in another form, consistent with Iowa Code section </w:t>
      </w:r>
      <w:hyperlink r:id="rId9">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electronic ballots, it is the duty of the election committee to verify, or cause to be verified, the name and credit union account number of the voter as registered in the electronic voting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mail-in ballots, including absentee ballots, it is the duty of the election committee to verify, or cause to be verified, the name and credit union account number of the voter as they appear on the identification form; to place the verified identification form and the sealed ballot envelope in a place of safekeeping pending the count of the vote; and, in the case of a questionable or challenged identification form, to retain the identification form and sealed ballot envelope together until the verification or challenge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Notice of balloting. </w:t>
      </w:r>
      <w:r>
        <w:rPr>
          <w:rFonts w:ascii="Times New Roman" w:hAnsi="Times New Roman"/>
          <w:b w:val="false"/>
          <w:i w:val="false"/>
          <w:color w:val="000000"/>
          <w:sz w:val="22"/>
        </w:rPr>
        <w:t>At least 20 days but not more than 60 days prior to the closing date of balloting, the secretary shall set forth the substantive vote in its entirety, including the reasoning of the board of directors or the nominees for election, in a notice to all members eligible to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set forth the rules and procedures for voting, the date of the close of balloting for ballots submitted other than in person at a meeting held for the purpose of voting, that balloting is subject to an affirmative vote of a majority of ballots cast, and that no other vote on the subject shall be taken after the closing date of balloting except for votes cast in person at a meeting held for the purpose of voting. The notice shall also contain a summary of the board’s reasons for submitting the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close of balloting for ballots submitted other than in person during voting at a meeting held for the purpose of voting shall be at least five days prior to any meeting where voting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Electronic ballots shall be submitted no later than midnight on the date balloting closes for ballots submitted other than in person during voting at a meeting held for the purpose of voting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Ballots mailed to the credit union shall be postmarked no later than the closing date of balloting for ballots submitted other than in person during voting at a meeting held for the purpose of voting and shall be received within five business days after the closing date of balloting for ballots submitted other than in person during voting at a meeting held for the purpose of voting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Ballots hand-delivered to the credit union shall be received prior to the close of normal credit union business hours on the closing date of balloting for ballots submitted other than in person during voting at a meeting held for the purpose of voting in order to be considered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more than one method of voting will be used, the notice shall also communicate that members have the right to vote through any of the methods of voting designated by the board but that members will only be allowed to vote once.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must be sent to each member through an independent mailing to members, statements, or newsletters, and posted on the credit union’s website, or on signs posted in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notice may be sent electronically to those members who have opted to receive notices electronically.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189—12.3</w:t>
      </w:r>
      <w:r>
        <w:rPr>
          <w:rFonts w:ascii="Times New Roman" w:hAnsi="Times New Roman"/>
          <w:b/>
          <w:i w:val="false"/>
          <w:color w:val="000000"/>
          <w:sz w:val="22"/>
        </w:rPr>
        <w:t xml:space="preserve">(533) </w:t>
      </w:r>
      <w:r>
        <w:rPr>
          <w:rFonts w:ascii="Times New Roman" w:hAnsi="Times New Roman"/>
          <w:b/>
          <w:i w:val="false"/>
          <w:color w:val="000000"/>
          <w:sz w:val="22"/>
        </w:rPr>
        <w:t xml:space="preserve">Voting methods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Mailed ballots. </w:t>
      </w:r>
      <w:r>
        <w:rPr>
          <w:rFonts w:ascii="Times New Roman" w:hAnsi="Times New Roman"/>
          <w:b w:val="false"/>
          <w:i w:val="false"/>
          <w:color w:val="000000"/>
          <w:sz w:val="22"/>
        </w:rPr>
        <w:t>If the board of directors, by majority vote, has elected to conduct the election in whole or in part by mailed ballot, then the secretary shall send with the notice of balloting a mail-in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shall include the following materials for balloting: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ballot, clearly identified as the ballot meeting the specific requirements of the topic of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One ballot envelope clearly marked “ballot” with instructions that the completed ballot shall be placed in that envelope and sealed.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 identification form to be completed by the voter to include the name, address, signature, and credit union account number of the voter.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mailing envelope in which the voter, following instructions provided, shall insert the sealed “ballot” envelope and the identification form. The mailing envelope shall be preaddressed for return to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credit union will also be conducting electronic voting, the mail-in ballot is not required for members who have opted to receive notices or statements electronically, and electronic mail may be used to provide the instructions for the electronic voting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Ballots mailed to the election committee or hand-delivered to the credit union shall be received unopened and placed in ballot boxes. The ballot boxes shall be opened by and the vote tallied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voting will also occur at the membership meeting, the ballot boxes shall be opened by and the vote tallied by the election committee, the tallies placed in the ballot boxes, and the ballot boxes resealed to be taken to the meeting. If voting is not scheduled to occur at a meeting of the membership, the election committee shall tally the votes and certify the vote count to the board no later than five days after the close of balloting for ballots submitted other than in person during voting at the membership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Electronic voting. </w:t>
      </w:r>
      <w:r>
        <w:rPr>
          <w:rFonts w:ascii="Times New Roman" w:hAnsi="Times New Roman"/>
          <w:b w:val="false"/>
          <w:i w:val="false"/>
          <w:color w:val="000000"/>
          <w:sz w:val="22"/>
        </w:rPr>
        <w:t>The board of directors shall vote to conduct the vote in whole by electronic voting only if all members have access to an electronic voting device. If the number of members who have opted to receive notices electronically is less than all members, the board may provide access to an electronic device in each credit union office for the members to vote electronically or written ballots in the credit union in order to satisfy the access requirement. Otherwise, the board shall also conduct the vote in part by mail-in ballot or in person at the meeting of the membership,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electronic voting. </w:t>
      </w:r>
      <w:r>
        <w:rPr>
          <w:rFonts w:ascii="Times New Roman" w:hAnsi="Times New Roman"/>
          <w:b w:val="false"/>
          <w:i w:val="false"/>
          <w:color w:val="000000"/>
          <w:sz w:val="22"/>
        </w:rPr>
        <w:t>If the board of directors, by majority vote, has elected to conduct the election in whole or in part by electronic voting, then the secretary shall include with the notice of balloting specific instructions for electronic voting.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instruction sheet for electronic voting shall contain specific instructions for electronic voting, including how to access and use the electronic voting system, and the period of time in which votes will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members who have opted to receive notices or statements electronically, the instructions for electronic voting required under this subrule may be communicated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electronic voting shall be tallied by the election committee. If voting will also occur at the membership meeting, then the results shall be verified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voting is not scheduled to occur at the membership meeting, the election committee shall tally the votes and certify the vote count to the board no later than five days after the close of balloting for ballots submitted other than in person during voting at the membership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Absentee ballots. </w:t>
      </w:r>
      <w:r>
        <w:rPr>
          <w:rFonts w:ascii="Times New Roman" w:hAnsi="Times New Roman"/>
          <w:b w:val="false"/>
          <w:i w:val="false"/>
          <w:color w:val="000000"/>
          <w:sz w:val="22"/>
        </w:rPr>
        <w:t>If the board of directors, by majority vote, has elected to conduct the election other than mail-in only, the board may also, by majority vote, utilize absentee ballots when no additional nominations will be taken from the floor at a meeting of the members and when, in the opinion of the board, it is in the best interest of the credit union and its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balloting shall include a notification that a member may vote by absentee ballot if the member submits a written or electronic request for an absentee ballot, or requests a ballot in person at a credit union branch, and returns the ballot prior to the close of balloting for ballots submitted other than in person during voting at the meeting, or by the close of balloting for each voting method if a subsequent in-person vote is not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the balloting materials specified in </w:t>
      </w:r>
      <w:hyperlink r:id="rId10">
        <w:r>
          <w:rPr>
            <w:rStyle w:val="Hyperlink"/>
            <w:rFonts w:ascii="Times New Roman" w:hAnsi="Times New Roman"/>
            <w:b w:val="false"/>
            <w:i w:val="false"/>
            <w:color w:val="000000"/>
            <w:sz w:val="22"/>
          </w:rPr>
          <w:t>paragraph 12.3(1)</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to each member who is eligible to vote and who has submitted an in-person, written, or electronic request for an absentee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Absentee ballots mailed to the election committee or hand-delivered to the credit union shall be received unopened and deposited in ballot boxes. The ballot boxes shall be opened by and the vote tallied by the election committee, the tallies placed in the ballot boxes, and the ballot boxes resealed to be taken to the meeting of the membership or tallies shall be added to remaining vote tallies if no meeting of the membership is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12.3(5)</w:t>
      </w:r>
      <w:r>
        <w:rPr>
          <w:rFonts w:ascii="Times New Roman" w:hAnsi="Times New Roman"/>
          <w:b w:val="false"/>
          <w:i w:val="false"/>
          <w:color w:val="000000"/>
          <w:sz w:val="22"/>
        </w:rPr>
        <w:t> </w:t>
      </w:r>
      <w:r>
        <w:rPr>
          <w:rFonts w:ascii="Times New Roman" w:hAnsi="Times New Roman"/>
          <w:b w:val="false"/>
          <w:i/>
          <w:color w:val="000000"/>
          <w:sz w:val="22"/>
        </w:rPr>
        <w:t xml:space="preserve">In-person voting at meeting. </w:t>
      </w:r>
      <w:r>
        <w:rPr>
          <w:rFonts w:ascii="Times New Roman" w:hAnsi="Times New Roman"/>
          <w:b w:val="false"/>
          <w:i w:val="false"/>
          <w:color w:val="000000"/>
          <w:sz w:val="22"/>
        </w:rPr>
        <w:t>If the board of directors has elected, upon a favorable vote of the majority, to conduct a vote in whole or in part at a meeting of members, printed ballots shall be given at the meeting to those members who have not voted by another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completed ballots shall be deposited in ballot boxes placed in conspicuous locations by the election committee before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the members have been given an opportunity to vote, balloting shall be closed, the ballot boxes opened and the vote tallied by the election committee and added to any previous count of mailed or electronic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election committee shall immediately certify the vote count to the board. The chairperson of the election committee shall announce the result of the vote at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189—12.4</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for the board of directors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Nominating committee. </w:t>
      </w:r>
      <w:r>
        <w:rPr>
          <w:rFonts w:ascii="Times New Roman" w:hAnsi="Times New Roman"/>
          <w:b w:val="false"/>
          <w:i w:val="false"/>
          <w:color w:val="000000"/>
          <w:sz w:val="22"/>
        </w:rPr>
        <w:t>If the board has determined that voting for directors at the annual meeting will be conducted other than only in-person voting at the meeting, then at least 120 days before each annual meeting, the chairperson of the board shall appoint a nominating committee of three or more members, none of whom are directors currently eligible for reelection or their immediate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duty of the nominating committee to nominate at least one member for each vacancy, including for any unexpired-term vacancy, for which elections are being held and to obtain a signed certificate from the members nominated that they agree to the placing of their names in nomination, will accept office if elected, and will cooperate with any background check required by the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nominating committee shall file its nominations with the secretary of the credit union board of directors at least 90 days before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Nominations made by the nominating committee are not subject to the petition process in subrule </w:t>
      </w:r>
      <w:hyperlink r:id="rId11">
        <w:r>
          <w:rPr>
            <w:rStyle w:val="Hyperlink"/>
            <w:rFonts w:ascii="Times New Roman" w:hAnsi="Times New Roman"/>
            <w:b w:val="false"/>
            <w:i w:val="false"/>
            <w:color w:val="000000"/>
            <w:sz w:val="22"/>
          </w:rPr>
          <w:t>12.4(2)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Nominations by petition. </w:t>
      </w:r>
      <w:r>
        <w:rPr>
          <w:rFonts w:ascii="Times New Roman" w:hAnsi="Times New Roman"/>
          <w:b w:val="false"/>
          <w:i w:val="false"/>
          <w:color w:val="000000"/>
          <w:sz w:val="22"/>
        </w:rPr>
        <w:t xml:space="preserve">If the board of directors determines pursuant to subrule </w:t>
      </w:r>
      <w:hyperlink r:id="rId12">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that voting for directors will be conducted in whole or in part by mail or electronic ballots prior to the annual meeting, then nominations shall not be taken from the floor at the annual meeting and the nominating committee shall accept additional nominations by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least 90 days before the annual meeting, the secretary shall notify in writing all members eligible to vote that nominations for vacancies may be made by petition signed by at least 1 percent of the members, subject to a minimum of 20 members and a maximum of 200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notice shall indicate that there will be no nominations from the floor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a list of the nominating committee’s nominees and a brief statement of the nominees’ qualifications and biographical data in a form approved by the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Nominations by petition shall be accompanied by a statement of qualifications and biographical data, as well as a signed certificate from the nominee stating that the nominee agrees to nomination, will serve if elected to office, will cooperate with any background check required by the credit union, and understands and agrees to the board of director oath of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Nominations by petition shall be accepted for at least 30 days from the date that the notice is sent. Petitions must be filed with the secretary of the credit union board of directors at least 60 days before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Nominations by petition which are received after the closing date, or which are otherwise incomplete, shall be disqualified by the board secretary. The secretary shall immediately notify the nominee of the disqualification and of the reason. A petition for a disqualified nominee may be refiled provided that all requirements, including the closing date for receiving nominations by petition,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may be included with the notice of annual meeting, in statements or newsletters, on the credit union website, or on signs posted in each credit union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secretary may use electronic mail to notify members who have opted to receive notices or statements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Posting of nominations. </w:t>
      </w:r>
      <w:r>
        <w:rPr>
          <w:rFonts w:ascii="Times New Roman" w:hAnsi="Times New Roman"/>
          <w:b w:val="false"/>
          <w:i w:val="false"/>
          <w:color w:val="000000"/>
          <w:sz w:val="22"/>
        </w:rPr>
        <w:t>The secretary shall ensure that all nominations are posted in a conspicuous place in each credit union office and interactive teller machine (ITM) terminal at least 30 days but no more than 60 days before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12.4(4)</w:t>
      </w:r>
      <w:r>
        <w:rPr>
          <w:rFonts w:ascii="Times New Roman" w:hAnsi="Times New Roman"/>
          <w:b w:val="false"/>
          <w:i w:val="false"/>
          <w:color w:val="000000"/>
          <w:sz w:val="22"/>
        </w:rPr>
        <w:t> </w:t>
      </w:r>
      <w:r>
        <w:rPr>
          <w:rFonts w:ascii="Times New Roman" w:hAnsi="Times New Roman"/>
          <w:b w:val="false"/>
          <w:i/>
          <w:color w:val="000000"/>
          <w:sz w:val="22"/>
        </w:rPr>
        <w:t xml:space="preserve">Nominations from the floor—voting only in person at annual meeting. </w:t>
      </w:r>
      <w:r>
        <w:rPr>
          <w:rFonts w:ascii="Times New Roman" w:hAnsi="Times New Roman"/>
          <w:b w:val="false"/>
          <w:i w:val="false"/>
          <w:color w:val="000000"/>
          <w:sz w:val="22"/>
        </w:rPr>
        <w:t xml:space="preserve">If the board of directors determines that voting at the annual meeting shall only be conducted in person, and nominations will be taken from the floor at the annual meeting, the chairperson of the board shall appoint a nominating committee of three or more members, none of whom are directors currently eligible for reelection or their immediate family members, at least 60 days before the annual meeting. The nominating committee shall not solicit additional nominations by petition pursuant to subrule </w:t>
      </w:r>
      <w:hyperlink r:id="rId13">
        <w:r>
          <w:rPr>
            <w:rStyle w:val="Hyperlink"/>
            <w:rFonts w:ascii="Times New Roman" w:hAnsi="Times New Roman"/>
            <w:b w:val="false"/>
            <w:i w:val="false"/>
            <w:color w:val="000000"/>
            <w:sz w:val="22"/>
          </w:rPr>
          <w:t>12.4(2)</w:t>
        </w:r>
      </w:hyperlink>
      <w:r>
        <w:rPr>
          <w:rFonts w:ascii="Times New Roman" w:hAnsi="Times New Roman"/>
          <w:b w:val="false"/>
          <w:i w:val="false"/>
          <w:color w:val="000000"/>
          <w:sz w:val="22"/>
        </w:rPr>
        <w:t xml:space="preserve">. Nominations shall be posted according to subrule </w:t>
      </w:r>
      <w:hyperlink r:id="rId14">
        <w:r>
          <w:rPr>
            <w:rStyle w:val="Hyperlink"/>
            <w:rFonts w:ascii="Times New Roman" w:hAnsi="Times New Roman"/>
            <w:b w:val="false"/>
            <w:i w:val="false"/>
            <w:color w:val="000000"/>
            <w:sz w:val="22"/>
          </w:rPr>
          <w:t>12.4(3)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electronic, mail-in, or absentee balloting has occurred and nominations will be taken from the floor, then at the annual meeting, printed ballots shall be distributed to those in attendance after additional nominations are taken from the floor or the ballots shall have blank spaces to write in additional names. The ballots shall be deposited in ballot boxes placed in conspicuous locations by the election committee before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members have been given an opportunity to vote, balloting shall be closed, the ballot boxes opened and the vote tallied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election committee shall immediately certify the vote count to the board. The chairperson of the election committee shall announce the result of the vote at the annual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12.4(5)</w:t>
      </w:r>
      <w:r>
        <w:rPr>
          <w:rFonts w:ascii="Times New Roman" w:hAnsi="Times New Roman"/>
          <w:b w:val="false"/>
          <w:i w:val="false"/>
          <w:color w:val="000000"/>
          <w:sz w:val="22"/>
        </w:rPr>
        <w:t> </w:t>
      </w:r>
      <w:r>
        <w:rPr>
          <w:rFonts w:ascii="Times New Roman" w:hAnsi="Times New Roman"/>
          <w:b w:val="false"/>
          <w:i/>
          <w:color w:val="000000"/>
          <w:sz w:val="22"/>
        </w:rPr>
        <w:t xml:space="preserve">Nomination notification by newsletter. </w:t>
      </w:r>
      <w:r>
        <w:rPr>
          <w:rFonts w:ascii="Times New Roman" w:hAnsi="Times New Roman"/>
          <w:b w:val="false"/>
          <w:i w:val="false"/>
          <w:color w:val="000000"/>
          <w:sz w:val="22"/>
        </w:rPr>
        <w:t>The board of directors may determine that the entire credit union membership will be notified via newsletter or other written communication of the opportunity to nominate an individual for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membership is notified of nominations via newsletter or other written communication at least 90 days before the annual meeting, the secretary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Send the newsletter or other written communication to the entire membership via U.S. mail or electronic mail to members who have opted to receive notices or statements electronically and indicate a physical location or email address where nominations can be 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Indicate in the notice that there will be no nominations from the floor at the annual meeting;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Indicate in the notice that the nominating committee will vet the candidates to confirm each candidate is eligible and present a list of the eligible candidates prior to the voting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directors utilizes the nomination notification by newsletter pursuant to this rule, then nominations shall not be taken from the floor at the annual meeting as set forth in subrule </w:t>
      </w:r>
      <w:hyperlink r:id="rId15">
        <w:r>
          <w:rPr>
            <w:rStyle w:val="Hyperlink"/>
            <w:rFonts w:ascii="Times New Roman" w:hAnsi="Times New Roman"/>
            <w:b w:val="false"/>
            <w:i w:val="false"/>
            <w:color w:val="000000"/>
            <w:sz w:val="22"/>
          </w:rPr>
          <w:t>12.4(4)</w:t>
        </w:r>
      </w:hyperlink>
      <w:r>
        <w:rPr>
          <w:rFonts w:ascii="Times New Roman" w:hAnsi="Times New Roman"/>
          <w:b w:val="false"/>
          <w:i w:val="false"/>
          <w:color w:val="000000"/>
          <w:sz w:val="22"/>
        </w:rPr>
        <w:t xml:space="preserve"> and nomination notifications made pursuant to this rule are not subject to the nomination-by-petition process in subrule </w:t>
      </w:r>
      <w:hyperlink r:id="rId16">
        <w:r>
          <w:rPr>
            <w:rStyle w:val="Hyperlink"/>
            <w:rFonts w:ascii="Times New Roman" w:hAnsi="Times New Roman"/>
            <w:b w:val="false"/>
            <w:i w:val="false"/>
            <w:color w:val="000000"/>
            <w:sz w:val="22"/>
          </w:rPr>
          <w:t>12.4(2)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3734C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189—12.5</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election procedures for the board of directors elections.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Vote by board of directors. </w:t>
      </w:r>
      <w:r>
        <w:rPr>
          <w:rFonts w:ascii="Times New Roman" w:hAnsi="Times New Roman"/>
          <w:b w:val="false"/>
          <w:i w:val="false"/>
          <w:color w:val="000000"/>
          <w:sz w:val="22"/>
        </w:rPr>
        <w:t xml:space="preserve">The board of directors shall, by majority vote, select the method of voting for the membership vote for the election of directors, in accordance with Iowa Code section </w:t>
      </w:r>
      <w:hyperlink r:id="rId17">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Each credit union member shall have a meaningful opportunity to vote in a membership vote. The board of directors shall vote to conduct the vote in whole by electronic voting only if all members have access to an electronic voting device. If the number of members who have opted to receive notices electronically is less than all members, the board may provide access to an electronic device in each credit union office for the members to vote electronically in order to satisfy the access requirement. Otherwise, the board shall also conduct the vote in part by mail-in ballot or in person at the annual meeting,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Notice of balloting. </w:t>
      </w:r>
      <w:r>
        <w:rPr>
          <w:rFonts w:ascii="Times New Roman" w:hAnsi="Times New Roman"/>
          <w:b w:val="false"/>
          <w:i w:val="false"/>
          <w:color w:val="000000"/>
          <w:sz w:val="22"/>
        </w:rPr>
        <w:t xml:space="preserve">In addition to the requirements in </w:t>
      </w:r>
      <w:hyperlink r:id="rId18">
        <w:r>
          <w:rPr>
            <w:rStyle w:val="Hyperlink"/>
            <w:rFonts w:ascii="Times New Roman" w:hAnsi="Times New Roman"/>
            <w:b w:val="false"/>
            <w:i w:val="false"/>
            <w:color w:val="000000"/>
            <w:sz w:val="22"/>
          </w:rPr>
          <w:t>subrule 12.2(3)</w:t>
        </w:r>
      </w:hyperlink>
      <w:r>
        <w:rPr>
          <w:rFonts w:ascii="Times New Roman" w:hAnsi="Times New Roman"/>
          <w:b w:val="false"/>
          <w:i w:val="false"/>
          <w:color w:val="000000"/>
          <w:sz w:val="22"/>
        </w:rPr>
        <w:t>, the notice of balloting for board of directors elections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balloting shall state the names of the candidates for the board of directors. The name of each candidate shall be followed by a brief statement of the candidate’s qualifications and biographical data in a form approved by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directors elected to accept additional nominations by petition, then the notice of balloting shall state that additional nominations shall not be taken from the floor at the annual meeting. In this event, the board may vote to conduct the election in any form permitted by Iowa Code section </w:t>
      </w:r>
      <w:hyperlink r:id="rId19">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of directors did not elect to accept additional nominations by petition, then the notice of balloting shall state that additional nominations will be taken from the floor at the annual meeting. In this event, the board may only vote to conduct the election in person at the annual meeting, and not by mail-in ballot, electronic voting, absentee voting, or any combination permitted by Iowa Code section </w:t>
      </w:r>
      <w:hyperlink r:id="rId20">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provisions of rule </w:t>
      </w:r>
      <w:hyperlink r:id="rId21">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22">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Results of the election shall be reported to members according to the provisions of rule </w:t>
      </w:r>
      <w:hyperlink r:id="rId23">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24">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3734C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189—12.6</w:t>
      </w:r>
      <w:r>
        <w:rPr>
          <w:rFonts w:ascii="Times New Roman" w:hAnsi="Times New Roman"/>
          <w:b/>
          <w:i w:val="false"/>
          <w:color w:val="000000"/>
          <w:sz w:val="22"/>
        </w:rPr>
        <w:t xml:space="preserve">(533) </w:t>
      </w:r>
      <w:r>
        <w:rPr>
          <w:rFonts w:ascii="Times New Roman" w:hAnsi="Times New Roman"/>
          <w:b/>
          <w:i w:val="false"/>
          <w:color w:val="000000"/>
          <w:sz w:val="22"/>
        </w:rPr>
        <w:t xml:space="preserve">Vote to amend bylaws or articles of incorporation.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Voting on amendments of bylaws and articles of incorporation shall be conducted in accordance with Iowa Code section </w:t>
      </w:r>
      <w:hyperlink r:id="rId25">
        <w:r>
          <w:rPr>
            <w:rStyle w:val="Hyperlink"/>
            <w:rFonts w:ascii="Times New Roman" w:hAnsi="Times New Roman"/>
            <w:b w:val="false"/>
            <w:i w:val="false"/>
            <w:color w:val="000000"/>
            <w:sz w:val="22"/>
          </w:rPr>
          <w:t>533.201</w:t>
        </w:r>
      </w:hyperlink>
      <w:r>
        <w:rPr>
          <w:rFonts w:ascii="Times New Roman" w:hAnsi="Times New Roman"/>
          <w:b w:val="false"/>
          <w:i w:val="false"/>
          <w:color w:val="000000"/>
          <w:sz w:val="22"/>
        </w:rPr>
        <w:t>. All amendments shall be approved by the superintendent before the amendments become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Vote by board of directors. </w:t>
      </w:r>
      <w:r>
        <w:rPr>
          <w:rFonts w:ascii="Times New Roman" w:hAnsi="Times New Roman"/>
          <w:b w:val="false"/>
          <w:i w:val="false"/>
          <w:color w:val="000000"/>
          <w:sz w:val="22"/>
        </w:rPr>
        <w:t>If the board of directors has elected upon a favorable vote of the majority that the board of directors shall vote on the amendment, then the amendment is adopted by a favorable vote of the majority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Membership vote. </w:t>
      </w:r>
      <w:r>
        <w:rPr>
          <w:rFonts w:ascii="Times New Roman" w:hAnsi="Times New Roman"/>
          <w:b w:val="false"/>
          <w:i w:val="false"/>
          <w:color w:val="000000"/>
          <w:sz w:val="22"/>
        </w:rPr>
        <w:t xml:space="preserve">The board of directors may vote to conduct the vote on the amendment by a method other than a majority vote of the board of directors, as provided in Iowa Code section </w:t>
      </w:r>
      <w:hyperlink r:id="rId26">
        <w:r>
          <w:rPr>
            <w:rStyle w:val="Hyperlink"/>
            <w:rFonts w:ascii="Times New Roman" w:hAnsi="Times New Roman"/>
            <w:b w:val="false"/>
            <w:i w:val="false"/>
            <w:color w:val="000000"/>
            <w:sz w:val="22"/>
          </w:rPr>
          <w:t>533.201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12.6(4)</w:t>
      </w:r>
      <w:r>
        <w:rPr>
          <w:rFonts w:ascii="Times New Roman" w:hAnsi="Times New Roman"/>
          <w:b w:val="false"/>
          <w:i w:val="false"/>
          <w:color w:val="000000"/>
          <w:sz w:val="22"/>
        </w:rPr>
        <w:t> </w:t>
      </w:r>
      <w:r>
        <w:rPr>
          <w:rFonts w:ascii="Times New Roman" w:hAnsi="Times New Roman"/>
          <w:b w:val="false"/>
          <w:i/>
          <w:color w:val="000000"/>
          <w:sz w:val="22"/>
        </w:rPr>
        <w:t xml:space="preserve">Election committee. </w:t>
      </w:r>
      <w:r>
        <w:rPr>
          <w:rFonts w:ascii="Times New Roman" w:hAnsi="Times New Roman"/>
          <w:b w:val="false"/>
          <w:i w:val="false"/>
          <w:color w:val="000000"/>
          <w:sz w:val="22"/>
        </w:rPr>
        <w:t xml:space="preserve">If the board of directors votes to conduct the vote on the amendment by a method other than a majority vote of the board of directors, as provided in Iowa Code section </w:t>
      </w:r>
      <w:hyperlink r:id="rId27">
        <w:r>
          <w:rPr>
            <w:rStyle w:val="Hyperlink"/>
            <w:rFonts w:ascii="Times New Roman" w:hAnsi="Times New Roman"/>
            <w:b w:val="false"/>
            <w:i w:val="false"/>
            <w:color w:val="000000"/>
            <w:sz w:val="22"/>
          </w:rPr>
          <w:t>533.201</w:t>
        </w:r>
      </w:hyperlink>
      <w:r>
        <w:rPr>
          <w:rFonts w:ascii="Times New Roman" w:hAnsi="Times New Roman"/>
          <w:b w:val="false"/>
          <w:i w:val="false"/>
          <w:color w:val="000000"/>
          <w:sz w:val="22"/>
        </w:rPr>
        <w:t>, then the board shall appoint an election committee of not fewer than five members, none of whom may be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12.6(5)</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28">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29">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of final approval or denial of the amendment by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12.6(6)</w:t>
      </w:r>
      <w:r>
        <w:rPr>
          <w:rFonts w:ascii="Times New Roman" w:hAnsi="Times New Roman"/>
          <w:b w:val="false"/>
          <w:i w:val="false"/>
          <w:color w:val="000000"/>
          <w:sz w:val="22"/>
        </w:rPr>
        <w:t> </w:t>
      </w:r>
      <w:r>
        <w:rPr>
          <w:rFonts w:ascii="Times New Roman" w:hAnsi="Times New Roman"/>
          <w:b w:val="false"/>
          <w:i/>
          <w:color w:val="000000"/>
          <w:sz w:val="22"/>
        </w:rPr>
        <w:t xml:space="preserve">Submission to superintendent. </w:t>
      </w:r>
      <w:r>
        <w:rPr>
          <w:rFonts w:ascii="Times New Roman" w:hAnsi="Times New Roman"/>
          <w:b w:val="false"/>
          <w:i w:val="false"/>
          <w:color w:val="000000"/>
          <w:sz w:val="22"/>
        </w:rPr>
        <w:t>The board of directors shall submit the amendment to the superintendent for approval before the amendment becomes effective. The board shall submit the following documentation in support of its request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board minutes which contain the recommendation to submit the amendment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notices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any ballots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statement, including the vote count, that a majority of the eligible members voted in favor of the proposed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12.6(7)</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and whether the amendment received the approval of the superintendent, according to the provisions of rule </w:t>
      </w:r>
      <w:hyperlink r:id="rId30">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31">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of final approval or denial of the amendment by the superintendent.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189—12.7</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to modify, amend, or reverse an act of the board of directors or to instruct the board to take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Vote of members at meeting. </w:t>
      </w:r>
      <w:r>
        <w:rPr>
          <w:rFonts w:ascii="Times New Roman" w:hAnsi="Times New Roman"/>
          <w:b w:val="false"/>
          <w:i w:val="false"/>
          <w:color w:val="000000"/>
          <w:sz w:val="22"/>
        </w:rPr>
        <w:t>The majority of members present at any meeting may vote to modify, amend, or reverse any act of the board of directors or instruct the board to take action not inconsistent with the articles of incorporation, the bylaws, or the Iowa credit union Act or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Subsequent vote of membership. </w:t>
      </w:r>
      <w:r>
        <w:rPr>
          <w:rFonts w:ascii="Times New Roman" w:hAnsi="Times New Roman"/>
          <w:b w:val="false"/>
          <w:i w:val="false"/>
          <w:color w:val="000000"/>
          <w:sz w:val="22"/>
        </w:rPr>
        <w:t>In order to be binding upon the board of directors, any action taken by the membership to modify, amend, or reverse an act of the board, or to instruct the board to take action, requires an affirmative vote of a majority of all eligible members obtained by submitting the modification, amendment, reversal, or instruction to the members for a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a majority of members present at a meeting have voted to modify, amend, or reverse any act of the board of directors, or to instruct the board to take action not inconsistent with the articles, the bylaws, or the Iowa credit union Act or administrative rules, the board of directors shall meet to determine the method of voting for the membership vote and shall, within 60 days of the date of the meeting where the majority of members voted to modify, amend, or reverse an act of the board of directors, or to instruct the board to take action, submit the issue to all eligible voters of record as of the date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by majority vote, select the method of voting for the membership vote, in accordance with Iowa Code section </w:t>
      </w:r>
      <w:hyperlink r:id="rId32">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Each credit union member shall have a meaningful opportunity to vote in a membership vote. The board of directors shall vote to conduct the vote in whole by electronic voting only if all members have access to an electronic voting device. If the number of members who have opted to receive notices electronically is less than all members, the board may provide access to an electronic device in each credit union office for the members to vote electronically in order to satisfy the access requirement. Otherwise, the board shall also conduct the vote in part by mail-in ballot or in person at a meeting held for the purpose of voting,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simple majority of all eligible votes cast are in favor of the amendment, modification, reversal or instruction to take action, the vote of the members taken at the annual or special meeting shall be considered affirmed, and the board of directors shall take immediate action to comply with the directions of the membership. However, if a simple majority of all votes cast are not in favor of the amendment, modification, reversal or instruction to take action, the vote of the members taken at the annual or special meeting is not affirmed, and the prior action of the board of directors shall be considered upheld.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33">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34">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according to the provisions of rule </w:t>
      </w:r>
      <w:hyperlink r:id="rId35">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36">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189—12.8</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regarding merger.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12.8(1)</w:t>
      </w:r>
      <w:r>
        <w:rPr>
          <w:rFonts w:ascii="Times New Roman" w:hAnsi="Times New Roman"/>
          <w:b w:val="false"/>
          <w:i w:val="false"/>
          <w:color w:val="000000"/>
          <w:sz w:val="22"/>
        </w:rPr>
        <w:t> </w:t>
      </w:r>
      <w:r>
        <w:rPr>
          <w:rFonts w:ascii="Times New Roman" w:hAnsi="Times New Roman"/>
          <w:b w:val="false"/>
          <w:i/>
          <w:color w:val="000000"/>
          <w:sz w:val="22"/>
        </w:rPr>
        <w:t xml:space="preserve">Vote by board of directors. </w:t>
      </w:r>
      <w:r>
        <w:rPr>
          <w:rFonts w:ascii="Times New Roman" w:hAnsi="Times New Roman"/>
          <w:b w:val="false"/>
          <w:i w:val="false"/>
          <w:color w:val="000000"/>
          <w:sz w:val="22"/>
        </w:rPr>
        <w:t>A state credit union that seeks to merge with another credit union shall proceed pursuant to a plan agreed upon by a favorable vote of a majority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12.8(2)</w:t>
      </w:r>
      <w:r>
        <w:rPr>
          <w:rFonts w:ascii="Times New Roman" w:hAnsi="Times New Roman"/>
          <w:b w:val="false"/>
          <w:i w:val="false"/>
          <w:color w:val="000000"/>
          <w:sz w:val="22"/>
        </w:rPr>
        <w:t> </w:t>
      </w:r>
      <w:r>
        <w:rPr>
          <w:rFonts w:ascii="Times New Roman" w:hAnsi="Times New Roman"/>
          <w:b w:val="false"/>
          <w:i/>
          <w:color w:val="000000"/>
          <w:sz w:val="22"/>
        </w:rPr>
        <w:t xml:space="preserve">Subsequent vote of the membership. </w:t>
      </w:r>
      <w:r>
        <w:rPr>
          <w:rFonts w:ascii="Times New Roman" w:hAnsi="Times New Roman"/>
          <w:b w:val="false"/>
          <w:i w:val="false"/>
          <w:color w:val="000000"/>
          <w:sz w:val="22"/>
        </w:rPr>
        <w:t>Following a vote by the board of directors to merge with another credit union, the board shall submit the merger to a vote of the membership of the merging credit union unless the superintendent finds that an emergency exists justifying the waiver of the membership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of the continuing credit union shall, within ten days of voting to merge, notify the superintendent of the merger vote.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superintendent has given preliminary approval to the merger, the board of the merging credit union shall submit the issue within 60 days to all eligible voters of record as of the date of the vote by the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approval of the merger is not final until approved by the superintendent after the membership vote of the merging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12.8(3)</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37">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38">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12.8(4)</w:t>
      </w:r>
      <w:r>
        <w:rPr>
          <w:rFonts w:ascii="Times New Roman" w:hAnsi="Times New Roman"/>
          <w:b w:val="false"/>
          <w:i w:val="false"/>
          <w:color w:val="000000"/>
          <w:sz w:val="22"/>
        </w:rPr>
        <w:t> </w:t>
      </w:r>
      <w:r>
        <w:rPr>
          <w:rFonts w:ascii="Times New Roman" w:hAnsi="Times New Roman"/>
          <w:b w:val="false"/>
          <w:i/>
          <w:color w:val="000000"/>
          <w:sz w:val="22"/>
        </w:rPr>
        <w:t xml:space="preserve">Submission to superintendent. </w:t>
      </w:r>
      <w:r>
        <w:rPr>
          <w:rFonts w:ascii="Times New Roman" w:hAnsi="Times New Roman"/>
          <w:b w:val="false"/>
          <w:i w:val="false"/>
          <w:color w:val="000000"/>
          <w:sz w:val="22"/>
        </w:rPr>
        <w:t>The board of directors shall submit the merger to the superintendent for approval before the merger becomes effective. The board shall submit the following documentation in support of its request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board minutes which contain the vote of the board of directors to approve the merger and to submit the merger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notices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any ballots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statement, including the vote count, that a majority of the eligible members voted in favor of the proposed merger.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12.8(5)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according to the provisions of rule </w:t>
      </w:r>
      <w:hyperlink r:id="rId39">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40">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189—12.9</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for voluntary dissolution.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12.9(1)</w:t>
      </w:r>
      <w:r>
        <w:rPr>
          <w:rFonts w:ascii="Times New Roman" w:hAnsi="Times New Roman"/>
          <w:b w:val="false"/>
          <w:i w:val="false"/>
          <w:color w:val="000000"/>
          <w:sz w:val="22"/>
        </w:rPr>
        <w:t> </w:t>
      </w:r>
      <w:r>
        <w:rPr>
          <w:rFonts w:ascii="Times New Roman" w:hAnsi="Times New Roman"/>
          <w:b w:val="false"/>
          <w:i/>
          <w:color w:val="000000"/>
          <w:sz w:val="22"/>
        </w:rPr>
        <w:t xml:space="preserve">Vote of board of directors. </w:t>
      </w:r>
      <w:r>
        <w:rPr>
          <w:rFonts w:ascii="Times New Roman" w:hAnsi="Times New Roman"/>
          <w:b w:val="false"/>
          <w:i w:val="false"/>
          <w:color w:val="000000"/>
          <w:sz w:val="22"/>
        </w:rPr>
        <w:t>A state credit union that seeks to dissolve shall proceed pursuant to a plan agreed upon by a favorable vote of a majority of directors. Within ten days of the vote and prior to sending notice of the membership vote, the board of directors shall notify the superintendent of the intention to dissolve.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12.9(2)</w:t>
      </w:r>
      <w:r>
        <w:rPr>
          <w:rFonts w:ascii="Times New Roman" w:hAnsi="Times New Roman"/>
          <w:b w:val="false"/>
          <w:i w:val="false"/>
          <w:color w:val="000000"/>
          <w:sz w:val="22"/>
        </w:rPr>
        <w:t> </w:t>
      </w:r>
      <w:r>
        <w:rPr>
          <w:rFonts w:ascii="Times New Roman" w:hAnsi="Times New Roman"/>
          <w:b w:val="false"/>
          <w:i/>
          <w:color w:val="000000"/>
          <w:sz w:val="22"/>
        </w:rPr>
        <w:t xml:space="preserve">Subsequent vote of the membership. </w:t>
      </w:r>
      <w:r>
        <w:rPr>
          <w:rFonts w:ascii="Times New Roman" w:hAnsi="Times New Roman"/>
          <w:b w:val="false"/>
          <w:i w:val="false"/>
          <w:color w:val="000000"/>
          <w:sz w:val="22"/>
        </w:rPr>
        <w:t>Following a vote by the board of directors to dissolve, the board shall submit the dissolution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submit the issue to the membership within 60 days of voting to dissolve.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submit the issue to all eligible voters of record as of the date of the vote by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by majority vote, select the method of voting for the membership vote, in accordance with Iowa Code section </w:t>
      </w:r>
      <w:hyperlink r:id="rId41">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Each credit union member shall have a meaningful opportunity to vote in a membership vote. The board of directors shall vote to conduct the vote in whole by electronic voting only if all members have access to an electronic voting device. If the number of members who have opted to receive notices electronically is less than all members, the board may provide access to an electronic device in each credit union office for the members to vote electronically in order to satisfy the access requirement. Otherwise, the board shall also conduct the vote in part by mail-in ballot or in person at a meeting held for the purpose of voting, pursuant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approval of the dissolution is not final until the superintendent issues a certificate of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12.9(3)</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42">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43">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12.9(4)</w:t>
      </w:r>
      <w:r>
        <w:rPr>
          <w:rFonts w:ascii="Times New Roman" w:hAnsi="Times New Roman"/>
          <w:b w:val="false"/>
          <w:i w:val="false"/>
          <w:color w:val="000000"/>
          <w:sz w:val="22"/>
        </w:rPr>
        <w:t> </w:t>
      </w:r>
      <w:r>
        <w:rPr>
          <w:rFonts w:ascii="Times New Roman" w:hAnsi="Times New Roman"/>
          <w:b w:val="false"/>
          <w:i/>
          <w:color w:val="000000"/>
          <w:sz w:val="22"/>
        </w:rPr>
        <w:t xml:space="preserve">Submission to superintendent. </w:t>
      </w:r>
      <w:r>
        <w:rPr>
          <w:rFonts w:ascii="Times New Roman" w:hAnsi="Times New Roman"/>
          <w:b w:val="false"/>
          <w:i w:val="false"/>
          <w:color w:val="000000"/>
          <w:sz w:val="22"/>
        </w:rPr>
        <w:t>The board of directors shall submit the dissolution to the superintendent for review before the dissolution becomes effective. The state credit union shall cease existence when the superintendent issues a certificate of dissolution. The board shall submit the following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board minutes which contain the vote of the board of directors to approve the plan and to submit the dissolution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notices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any ballots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statement, including the vote count, that a majority of the eligible members voted in favor of the proposed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Proof that is satisfactory to the superintendent that all assets have been liquidated from which there is a reasonable expectance of realization, that the liabilities of the state credit union have been discharged and distribution made to its members, and that the liquidation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12.9(5)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according to the provisions of rule </w:t>
      </w:r>
      <w:hyperlink r:id="rId44">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45">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189—12.10</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to remove or reinstate an officer, director, or member of the auditing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12.10(1)</w:t>
      </w:r>
      <w:r>
        <w:rPr>
          <w:rFonts w:ascii="Times New Roman" w:hAnsi="Times New Roman"/>
          <w:b w:val="false"/>
          <w:i w:val="false"/>
          <w:color w:val="000000"/>
          <w:sz w:val="22"/>
        </w:rPr>
        <w:t> </w:t>
      </w:r>
      <w:r>
        <w:rPr>
          <w:rFonts w:ascii="Times New Roman" w:hAnsi="Times New Roman"/>
          <w:b w:val="false"/>
          <w:i/>
          <w:color w:val="000000"/>
          <w:sz w:val="22"/>
        </w:rPr>
        <w:t xml:space="preserve">Auditing committee vote. </w:t>
      </w:r>
      <w:r>
        <w:rPr>
          <w:rFonts w:ascii="Times New Roman" w:hAnsi="Times New Roman"/>
          <w:b w:val="false"/>
          <w:i w:val="false"/>
          <w:color w:val="000000"/>
          <w:sz w:val="22"/>
        </w:rPr>
        <w:t>If the auditing committee deems the action to be necessary to the proper conduct of the state credit union, the auditing committee may suspend, by majority vote, any officer, director, or member of the auditing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12.10(2)</w:t>
      </w:r>
      <w:r>
        <w:rPr>
          <w:rFonts w:ascii="Times New Roman" w:hAnsi="Times New Roman"/>
          <w:b w:val="false"/>
          <w:i w:val="false"/>
          <w:color w:val="000000"/>
          <w:sz w:val="22"/>
        </w:rPr>
        <w:t> </w:t>
      </w:r>
      <w:r>
        <w:rPr>
          <w:rFonts w:ascii="Times New Roman" w:hAnsi="Times New Roman"/>
          <w:b w:val="false"/>
          <w:i/>
          <w:color w:val="000000"/>
          <w:sz w:val="22"/>
        </w:rPr>
        <w:t xml:space="preserve">Subsequent vote of membership. </w:t>
      </w:r>
      <w:r>
        <w:rPr>
          <w:rFonts w:ascii="Times New Roman" w:hAnsi="Times New Roman"/>
          <w:b w:val="false"/>
          <w:i w:val="false"/>
          <w:color w:val="000000"/>
          <w:sz w:val="22"/>
        </w:rPr>
        <w:t>Following a vote by the auditing committee to suspend an officer, director, or member of the auditing committee, the suspension shall be put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members may vote to sustain the suspension and remove the officer, director, or auditing committee member permanently or may vote to reinstate the officer, director, or auditing committee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meet to determine the method of voting for the membership vote and shall, within 30 days of the date of the auditing committee’s vote, submit the issue to all eligible voters of record as of the date of the auditing committee’s meeting. The board of directors shall, by majority vote, select the method of voting for the membership vote, in accordance with Iowa Code section </w:t>
      </w:r>
      <w:hyperlink r:id="rId46">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xml:space="preserve">. Each credit union member shall have a meaningful opportunity to vote in a membership vote.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12.10(3)</w:t>
      </w:r>
      <w:r>
        <w:rPr>
          <w:rFonts w:ascii="Times New Roman" w:hAnsi="Times New Roman"/>
          <w:b w:val="false"/>
          <w:i w:val="false"/>
          <w:color w:val="000000"/>
          <w:sz w:val="22"/>
        </w:rPr>
        <w:t> </w:t>
      </w:r>
      <w:r>
        <w:rPr>
          <w:rFonts w:ascii="Times New Roman" w:hAnsi="Times New Roman"/>
          <w:b w:val="false"/>
          <w:i/>
          <w:color w:val="000000"/>
          <w:sz w:val="22"/>
        </w:rPr>
        <w:t xml:space="preserve">Election committee. </w:t>
      </w:r>
      <w:r>
        <w:rPr>
          <w:rFonts w:ascii="Times New Roman" w:hAnsi="Times New Roman"/>
          <w:b w:val="false"/>
          <w:i w:val="false"/>
          <w:color w:val="000000"/>
          <w:sz w:val="22"/>
        </w:rPr>
        <w:t>The board shall appoint an election committee of not fewer than five members, no more than two of whom may be from the board of directors and none of whom may be from the auditing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12.10(4)</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47">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48">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12.10(5)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 xml:space="preserve">The board shall inform the membership of the results of the vote according to the provisions of rule </w:t>
      </w:r>
      <w:hyperlink r:id="rId49">
        <w:r>
          <w:rPr>
            <w:rStyle w:val="Hyperlink"/>
            <w:rFonts w:ascii="Times New Roman" w:hAnsi="Times New Roman"/>
            <w:b w:val="false"/>
            <w:i w:val="false"/>
            <w:color w:val="000000"/>
            <w:sz w:val="22"/>
          </w:rPr>
          <w:t>189—12.12</w:t>
        </w:r>
      </w:hyperlink>
      <w:r>
        <w:rPr>
          <w:rFonts w:ascii="Times New Roman" w:hAnsi="Times New Roman"/>
          <w:b w:val="false"/>
          <w:i w:val="false"/>
          <w:color w:val="000000"/>
          <w:sz w:val="22"/>
        </w:rPr>
        <w:t xml:space="preserve">(533). The 60-day posting period required by subrule </w:t>
      </w:r>
      <w:hyperlink r:id="rId50">
        <w:r>
          <w:rPr>
            <w:rStyle w:val="Hyperlink"/>
            <w:rFonts w:ascii="Times New Roman" w:hAnsi="Times New Roman"/>
            <w:b w:val="false"/>
            <w:i w:val="false"/>
            <w:color w:val="000000"/>
            <w:sz w:val="22"/>
          </w:rPr>
          <w:t>12.12(1)</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189—12.11</w:t>
      </w:r>
      <w:r>
        <w:rPr>
          <w:rFonts w:ascii="Times New Roman" w:hAnsi="Times New Roman"/>
          <w:b/>
          <w:i w:val="false"/>
          <w:color w:val="000000"/>
          <w:sz w:val="22"/>
        </w:rPr>
        <w:t xml:space="preserve">(533) </w:t>
      </w:r>
      <w:r>
        <w:rPr>
          <w:rFonts w:ascii="Times New Roman" w:hAnsi="Times New Roman"/>
          <w:b/>
          <w:i w:val="false"/>
          <w:color w:val="000000"/>
          <w:sz w:val="22"/>
        </w:rPr>
        <w:t xml:space="preserve">Preservation of ballots.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12.11(1)</w:t>
      </w:r>
      <w:r>
        <w:rPr>
          <w:rFonts w:ascii="Times New Roman" w:hAnsi="Times New Roman"/>
          <w:b w:val="false"/>
          <w:i w:val="false"/>
          <w:color w:val="000000"/>
          <w:sz w:val="22"/>
        </w:rPr>
        <w:t> </w:t>
      </w:r>
      <w:r>
        <w:rPr>
          <w:rFonts w:ascii="Times New Roman" w:hAnsi="Times New Roman"/>
          <w:b w:val="false"/>
          <w:i w:val="false"/>
          <w:color w:val="000000"/>
          <w:sz w:val="22"/>
        </w:rPr>
        <w:t>Immediately upon certification of the results of the vote by the election committee, any written ballots shall be sealed and appropriately labeled. Electronic vote results shall be saved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12.11(2)</w:t>
      </w:r>
      <w:r>
        <w:rPr>
          <w:rFonts w:ascii="Times New Roman" w:hAnsi="Times New Roman"/>
          <w:b w:val="false"/>
          <w:i w:val="false"/>
          <w:color w:val="000000"/>
          <w:sz w:val="22"/>
        </w:rPr>
        <w:t> </w:t>
      </w:r>
      <w:r>
        <w:rPr>
          <w:rFonts w:ascii="Times New Roman" w:hAnsi="Times New Roman"/>
          <w:b w:val="false"/>
          <w:i w:val="false"/>
          <w:color w:val="000000"/>
          <w:sz w:val="22"/>
        </w:rPr>
        <w:t>All ballots and voting results shall be retained by the credit union for at least 60 days, and until any disputes are resolved.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189—12.12</w:t>
      </w:r>
      <w:r>
        <w:rPr>
          <w:rFonts w:ascii="Times New Roman" w:hAnsi="Times New Roman"/>
          <w:b/>
          <w:i w:val="false"/>
          <w:color w:val="000000"/>
          <w:sz w:val="22"/>
        </w:rPr>
        <w:t xml:space="preserve">(533) </w:t>
      </w:r>
      <w:r>
        <w:rPr>
          <w:rFonts w:ascii="Times New Roman" w:hAnsi="Times New Roman"/>
          <w:b/>
          <w:i w:val="false"/>
          <w:color w:val="000000"/>
          <w:sz w:val="22"/>
        </w:rPr>
        <w:t xml:space="preserve">Reporting the results of the vote to the membership.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12.12(1)</w:t>
      </w:r>
      <w:r>
        <w:rPr>
          <w:rFonts w:ascii="Times New Roman" w:hAnsi="Times New Roman"/>
          <w:b w:val="false"/>
          <w:i w:val="false"/>
          <w:color w:val="000000"/>
          <w:sz w:val="22"/>
        </w:rPr>
        <w:t> </w:t>
      </w:r>
      <w:r>
        <w:rPr>
          <w:rFonts w:ascii="Times New Roman" w:hAnsi="Times New Roman"/>
          <w:b w:val="false"/>
          <w:i/>
          <w:color w:val="000000"/>
          <w:sz w:val="22"/>
        </w:rPr>
        <w:t xml:space="preserve">Posting of results. </w:t>
      </w:r>
      <w:r>
        <w:rPr>
          <w:rFonts w:ascii="Times New Roman" w:hAnsi="Times New Roman"/>
          <w:b w:val="false"/>
          <w:i w:val="false"/>
          <w:color w:val="000000"/>
          <w:sz w:val="22"/>
        </w:rPr>
        <w:t>Except as otherwise provided for a membership vote, the board shall inform the membership of the results of the vote by conspicuously posting notice in each credit union office for a period of 60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12.12(2)</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Except as otherwise provided for a membership vote, in addition to posting the results in each credit union office, the board shall also communicate the results to the membership by at least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next mailing of the member’s statement of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credit union newsletter.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the results in the sponsor’s newsletter.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on the credit union’s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a notice in a newspaper of general circulation within the geographic area of operation of the credit union.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189—12.13</w:t>
      </w:r>
      <w:r>
        <w:rPr>
          <w:rFonts w:ascii="Times New Roman" w:hAnsi="Times New Roman"/>
          <w:b/>
          <w:i w:val="false"/>
          <w:color w:val="000000"/>
          <w:sz w:val="22"/>
        </w:rPr>
        <w:t xml:space="preserve">(533) </w:t>
      </w:r>
      <w:r>
        <w:rPr>
          <w:rFonts w:ascii="Times New Roman" w:hAnsi="Times New Roman"/>
          <w:b/>
          <w:i w:val="false"/>
          <w:color w:val="000000"/>
          <w:sz w:val="22"/>
        </w:rPr>
        <w:t xml:space="preserve">Specific voting requirements for the sale of assets by corporate central credit union.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12.13(1)</w:t>
      </w:r>
      <w:r>
        <w:rPr>
          <w:rFonts w:ascii="Times New Roman" w:hAnsi="Times New Roman"/>
          <w:b w:val="false"/>
          <w:i w:val="false"/>
          <w:color w:val="000000"/>
          <w:sz w:val="22"/>
        </w:rPr>
        <w:t> </w:t>
      </w:r>
      <w:r>
        <w:rPr>
          <w:rFonts w:ascii="Times New Roman" w:hAnsi="Times New Roman"/>
          <w:b w:val="false"/>
          <w:i/>
          <w:color w:val="000000"/>
          <w:sz w:val="22"/>
        </w:rPr>
        <w:t xml:space="preserve">Board of directors’ vote. </w:t>
      </w:r>
      <w:r>
        <w:rPr>
          <w:rFonts w:ascii="Times New Roman" w:hAnsi="Times New Roman"/>
          <w:b w:val="false"/>
          <w:i w:val="false"/>
          <w:color w:val="000000"/>
          <w:sz w:val="22"/>
        </w:rPr>
        <w:t>A corporate central credit union that seeks to sell all of its assets to another corporate credit union shall proceed pursuant to a plan agreed upon by a favorable vote of a majority of directors. The board shall notify the superintendent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12.13(2)</w:t>
      </w:r>
      <w:r>
        <w:rPr>
          <w:rFonts w:ascii="Times New Roman" w:hAnsi="Times New Roman"/>
          <w:b w:val="false"/>
          <w:i w:val="false"/>
          <w:color w:val="000000"/>
          <w:sz w:val="22"/>
        </w:rPr>
        <w:t> </w:t>
      </w:r>
      <w:r>
        <w:rPr>
          <w:rFonts w:ascii="Times New Roman" w:hAnsi="Times New Roman"/>
          <w:b w:val="false"/>
          <w:i/>
          <w:color w:val="000000"/>
          <w:sz w:val="22"/>
        </w:rPr>
        <w:t xml:space="preserve">Subsequent vote of the membership. </w:t>
      </w:r>
      <w:r>
        <w:rPr>
          <w:rFonts w:ascii="Times New Roman" w:hAnsi="Times New Roman"/>
          <w:b w:val="false"/>
          <w:i w:val="false"/>
          <w:color w:val="000000"/>
          <w:sz w:val="22"/>
        </w:rPr>
        <w:t>Following a vote by the board of directors to approve a plan to sell all of the corporate central credit union’s assets to another corporate credit union, the board shall submit the plan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submit the issue within 60 days of voting to approve the plan to all eligible voters of record as of the date of the vote by the board of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directors shall, by majority vote, select the method of voting for the membership vote, in accordance with Iowa Code section </w:t>
      </w:r>
      <w:hyperlink r:id="rId51">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xml:space="preserve">. Each credit union member shall have a meaningful opportunity to vote in a membership vote.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approval of the sale is not final until approved by the superintendent after the membership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12.13(3)</w:t>
      </w:r>
      <w:r>
        <w:rPr>
          <w:rFonts w:ascii="Times New Roman" w:hAnsi="Times New Roman"/>
          <w:b w:val="false"/>
          <w:i w:val="false"/>
          <w:color w:val="000000"/>
          <w:sz w:val="22"/>
        </w:rPr>
        <w:t> </w:t>
      </w:r>
      <w:r>
        <w:rPr>
          <w:rFonts w:ascii="Times New Roman" w:hAnsi="Times New Roman"/>
          <w:b w:val="false"/>
          <w:i/>
          <w:color w:val="000000"/>
          <w:sz w:val="22"/>
        </w:rPr>
        <w:t xml:space="preserve">Preservation of ballots. </w:t>
      </w:r>
      <w:r>
        <w:rPr>
          <w:rFonts w:ascii="Times New Roman" w:hAnsi="Times New Roman"/>
          <w:b w:val="false"/>
          <w:i w:val="false"/>
          <w:color w:val="000000"/>
          <w:sz w:val="22"/>
        </w:rPr>
        <w:t xml:space="preserve">Ballots shall be preserved according to the requirements of rule </w:t>
      </w:r>
      <w:hyperlink r:id="rId52">
        <w:r>
          <w:rPr>
            <w:rStyle w:val="Hyperlink"/>
            <w:rFonts w:ascii="Times New Roman" w:hAnsi="Times New Roman"/>
            <w:b w:val="false"/>
            <w:i w:val="false"/>
            <w:color w:val="000000"/>
            <w:sz w:val="22"/>
          </w:rPr>
          <w:t>189—12.11</w:t>
        </w:r>
      </w:hyperlink>
      <w:r>
        <w:rPr>
          <w:rFonts w:ascii="Times New Roman" w:hAnsi="Times New Roman"/>
          <w:b w:val="false"/>
          <w:i w:val="false"/>
          <w:color w:val="000000"/>
          <w:sz w:val="22"/>
        </w:rPr>
        <w:t xml:space="preserve">(533). The 60-day retention period required by subrule </w:t>
      </w:r>
      <w:hyperlink r:id="rId53">
        <w:r>
          <w:rPr>
            <w:rStyle w:val="Hyperlink"/>
            <w:rFonts w:ascii="Times New Roman" w:hAnsi="Times New Roman"/>
            <w:b w:val="false"/>
            <w:i w:val="false"/>
            <w:color w:val="000000"/>
            <w:sz w:val="22"/>
          </w:rPr>
          <w:t>12.11(2)</w:t>
        </w:r>
      </w:hyperlink>
      <w:r>
        <w:rPr>
          <w:rFonts w:ascii="Times New Roman" w:hAnsi="Times New Roman"/>
          <w:b w:val="false"/>
          <w:i w:val="false"/>
          <w:color w:val="000000"/>
          <w:sz w:val="22"/>
        </w:rPr>
        <w:t xml:space="preserve"> shall run from the date the results are certified to the board by the election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12.13(4)</w:t>
      </w:r>
      <w:r>
        <w:rPr>
          <w:rFonts w:ascii="Times New Roman" w:hAnsi="Times New Roman"/>
          <w:b w:val="false"/>
          <w:i w:val="false"/>
          <w:color w:val="000000"/>
          <w:sz w:val="22"/>
        </w:rPr>
        <w:t> </w:t>
      </w:r>
      <w:r>
        <w:rPr>
          <w:rFonts w:ascii="Times New Roman" w:hAnsi="Times New Roman"/>
          <w:b w:val="false"/>
          <w:i/>
          <w:color w:val="000000"/>
          <w:sz w:val="22"/>
        </w:rPr>
        <w:t xml:space="preserve">Submission to superintendent. </w:t>
      </w:r>
      <w:r>
        <w:rPr>
          <w:rFonts w:ascii="Times New Roman" w:hAnsi="Times New Roman"/>
          <w:b w:val="false"/>
          <w:i w:val="false"/>
          <w:color w:val="000000"/>
          <w:sz w:val="22"/>
        </w:rPr>
        <w:t>The board of directors shall submit the plan to the superintendent for approval before the plan to sell all of the assets of the corporate central credit union becomes effective. The board shall submit the following documentation in support of its request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board minutes which contain the vote of the board of directors to approve the plan and to submit the sale to a vote of the membership.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copy of the notices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copy of any ballots provided to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certified statement, including the vote count, that a majority of the eligible members voted in favor of the proposed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12.13(5)</w:t>
      </w:r>
      <w:r>
        <w:rPr>
          <w:rFonts w:ascii="Times New Roman" w:hAnsi="Times New Roman"/>
          <w:b w:val="false"/>
          <w:i w:val="false"/>
          <w:color w:val="000000"/>
          <w:sz w:val="22"/>
        </w:rPr>
        <w:t> </w:t>
      </w:r>
      <w:r>
        <w:rPr>
          <w:rFonts w:ascii="Times New Roman" w:hAnsi="Times New Roman"/>
          <w:b w:val="false"/>
          <w:i/>
          <w:color w:val="000000"/>
          <w:sz w:val="22"/>
        </w:rPr>
        <w:t xml:space="preserve">Publication of results. </w:t>
      </w:r>
      <w:r>
        <w:rPr>
          <w:rFonts w:ascii="Times New Roman" w:hAnsi="Times New Roman"/>
          <w:b w:val="false"/>
          <w:i w:val="false"/>
          <w:color w:val="000000"/>
          <w:sz w:val="22"/>
        </w:rPr>
        <w:t>The board shall inform the membership of the results of the vote within ten days of certification of the results of the vote by the election committee. The board shall communicate the results to the membership by at least two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email.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posting a notice on the corporate central credit union’s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189—12.14</w:t>
      </w:r>
      <w:r>
        <w:rPr>
          <w:rFonts w:ascii="Times New Roman" w:hAnsi="Times New Roman"/>
          <w:b/>
          <w:i w:val="false"/>
          <w:color w:val="000000"/>
          <w:sz w:val="22"/>
        </w:rPr>
        <w:t xml:space="preserve">(533) </w:t>
      </w:r>
      <w:r>
        <w:rPr>
          <w:rFonts w:ascii="Times New Roman" w:hAnsi="Times New Roman"/>
          <w:b/>
          <w:i w:val="false"/>
          <w:color w:val="000000"/>
          <w:sz w:val="22"/>
        </w:rPr>
        <w:t xml:space="preserve">Vote on conversion of an Iowa-chartered credit union to another charter type. </w:t>
      </w:r>
      <w:r>
        <w:rPr>
          <w:rFonts w:ascii="Times New Roman" w:hAnsi="Times New Roman"/>
          <w:b w:val="false"/>
          <w:i w:val="false"/>
          <w:color w:val="000000"/>
          <w:sz w:val="22"/>
        </w:rPr>
        <w:t xml:space="preserve">An Iowa-chartered credit union that seeks to convert to another charter type shall comply with the conversion procedures, including a vote of the membership, as provided in </w:t>
      </w:r>
      <w:hyperlink r:id="rId54">
        <w:r>
          <w:rPr>
            <w:rStyle w:val="Hyperlink"/>
            <w:rFonts w:ascii="Times New Roman" w:hAnsi="Times New Roman"/>
            <w:b w:val="false"/>
            <w:i w:val="false"/>
            <w:color w:val="000000"/>
            <w:sz w:val="22"/>
          </w:rPr>
          <w:t>189—Chapter 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0938C</w:t>
      </w:r>
      <w:r>
        <w:rPr>
          <w:rFonts w:ascii="Times New Roman" w:hAnsi="Times New Roman"/>
          <w:b w:val="false"/>
          <w:i w:val="false"/>
          <w:color w:val="000000"/>
          <w:sz w:val="16"/>
        </w:rPr>
        <w:t>, IAB 8/7/13, effective 9/15/13</w:t>
      </w:r>
      <w:r>
        <w:rPr>
          <w:rFonts w:ascii="Times New Roman" w:hAnsi="Times New Roman"/>
          <w:b w:val="false"/>
          <w:i w:val="false"/>
          <w:color w:val="000000"/>
          <w:sz w:val="16"/>
        </w:rPr>
        <w:t xml:space="preserve">; </w:t>
      </w:r>
      <w:r>
        <w:rPr>
          <w:rFonts w:ascii="Times New Roman" w:hAnsi="Times New Roman"/>
          <w:b/>
          <w:i w:val="false"/>
          <w:color w:val="000000"/>
          <w:sz w:val="16"/>
        </w:rPr>
        <w:t>ARC 6091C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533.201</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533.203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533.203A</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533.204</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533.208</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533.213</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533.401</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533.403</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533.405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6/30/82—published 7/21/82, effective 7/1/82]</w:t>
      </w:r>
    </w:p>
    <w:p>
      <w:pPr>
        <w:spacing w:before="0" w:after="0"/>
        <w:ind w:left="120"/>
        <w:jc w:val="center"/>
      </w:pPr>
      <w:r>
        <w:rPr>
          <w:rFonts w:ascii="Times New Roman" w:hAnsi="Times New Roman"/>
          <w:b w:val="false"/>
          <w:i w:val="false"/>
          <w:color w:val="000000"/>
          <w:sz w:val="21"/>
        </w:rPr>
        <w:t>[Filed 8/27/82, Notice 7/21/82—published 9/15/82, effective 10/20/82]</w:t>
      </w:r>
    </w:p>
    <w:p>
      <w:pPr>
        <w:spacing w:before="0" w:after="0"/>
        <w:ind w:left="120"/>
        <w:jc w:val="center"/>
      </w:pPr>
      <w:r>
        <w:rPr>
          <w:rFonts w:ascii="Times New Roman" w:hAnsi="Times New Roman"/>
          <w:b w:val="false"/>
          <w:i w:val="false"/>
          <w:color w:val="000000"/>
          <w:sz w:val="21"/>
        </w:rPr>
        <w:t>[Filed emergency 8/21/86—published 9/10/86, effective 8/21/86]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11/5/08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0938C</w:t>
      </w:r>
      <w:r>
        <w:rPr>
          <w:rFonts w:ascii="Times New Roman" w:hAnsi="Times New Roman"/>
          <w:b w:val="false"/>
          <w:i w:val="false"/>
          <w:color w:val="000000"/>
          <w:sz w:val="21"/>
        </w:rPr>
        <w:t xml:space="preserve"> (Notice ARC 0769C, IAB 5/29/13)</w:t>
      </w:r>
      <w:r>
        <w:rPr>
          <w:rFonts w:ascii="Times New Roman" w:hAnsi="Times New Roman"/>
          <w:b w:val="false"/>
          <w:i w:val="false"/>
          <w:color w:val="000000"/>
          <w:sz w:val="21"/>
        </w:rPr>
        <w:t>, IAB 8/7/13, effective 9/15/13]</w:t>
      </w:r>
    </w:p>
    <w:p>
      <w:pPr>
        <w:spacing w:before="0" w:after="0"/>
        <w:ind w:left="120"/>
        <w:jc w:val="center"/>
      </w:pPr>
      <w:r>
        <w:rPr>
          <w:rFonts w:ascii="Times New Roman" w:hAnsi="Times New Roman"/>
          <w:b w:val="false"/>
          <w:i w:val="false"/>
          <w:color w:val="000000"/>
          <w:sz w:val="21"/>
        </w:rPr>
        <w:t>[Filed ARC 3734C</w:t>
      </w:r>
      <w:r>
        <w:rPr>
          <w:rFonts w:ascii="Times New Roman" w:hAnsi="Times New Roman"/>
          <w:b w:val="false"/>
          <w:i w:val="false"/>
          <w:color w:val="000000"/>
          <w:sz w:val="21"/>
        </w:rPr>
        <w:t xml:space="preserve"> (Notice ARC 3600C, IAB 1/31/18)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6091C</w:t>
      </w:r>
      <w:r>
        <w:rPr>
          <w:rFonts w:ascii="Times New Roman" w:hAnsi="Times New Roman"/>
          <w:b w:val="false"/>
          <w:i w:val="false"/>
          <w:color w:val="000000"/>
          <w:sz w:val="21"/>
        </w:rPr>
        <w:t xml:space="preserve"> (Notice ARC 5882C, IAB 8/25/21)</w:t>
      </w:r>
      <w:r>
        <w:rPr>
          <w:rFonts w:ascii="Times New Roman" w:hAnsi="Times New Roman"/>
          <w:b w:val="false"/>
          <w:i w:val="false"/>
          <w:color w:val="000000"/>
          <w:sz w:val="21"/>
        </w:rPr>
        <w:t>, IAB 12/15/21,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89.12.2.pdf" Type="http://schemas.openxmlformats.org/officeDocument/2006/relationships/hyperlink" Id="rId5"/>
    <Relationship TargetMode="External" Target="https://www.legis.iowa.gov/docs/iac/rule/189.12.3.pdf" Type="http://schemas.openxmlformats.org/officeDocument/2006/relationships/hyperlink" Id="rId6"/>
    <Relationship TargetMode="External" Target="https://www.legis.iowa.gov/docs/ico/chapter/533.203.pdf" Type="http://schemas.openxmlformats.org/officeDocument/2006/relationships/hyperlink" Id="rId7"/>
    <Relationship TargetMode="External" Target="https://www.legis.iowa.gov/docs/iac/rule/189.12.12.pdf" Type="http://schemas.openxmlformats.org/officeDocument/2006/relationships/hyperlink" Id="rId8"/>
    <Relationship TargetMode="External" Target="https://www.legis.iowa.gov/docs/ico/chapter/533.203.pdf" Type="http://schemas.openxmlformats.org/officeDocument/2006/relationships/hyperlink" Id="rId9"/>
    <Relationship TargetMode="External" Target="https://www.legis.iowa.gov/docs/iac/rule/189.12.3.pdf" Type="http://schemas.openxmlformats.org/officeDocument/2006/relationships/hyperlink" Id="rId10"/>
    <Relationship TargetMode="External" Target="https://www.legis.iowa.gov/docs/iac/rule/189.12.4.pdf" Type="http://schemas.openxmlformats.org/officeDocument/2006/relationships/hyperlink" Id="rId11"/>
    <Relationship TargetMode="External" Target="https://www.legis.iowa.gov/docs/iac/rule/189.12.2.pdf" Type="http://schemas.openxmlformats.org/officeDocument/2006/relationships/hyperlink" Id="rId12"/>
    <Relationship TargetMode="External" Target="https://www.legis.iowa.gov/docs/iac/rule/189.12.4.pdf" Type="http://schemas.openxmlformats.org/officeDocument/2006/relationships/hyperlink" Id="rId13"/>
    <Relationship TargetMode="External" Target="https://www.legis.iowa.gov/docs/iac/rule/189.12.4.pdf" Type="http://schemas.openxmlformats.org/officeDocument/2006/relationships/hyperlink" Id="rId14"/>
    <Relationship TargetMode="External" Target="https://www.legis.iowa.gov/docs/iac/rule/189.12.5.pdf" Type="http://schemas.openxmlformats.org/officeDocument/2006/relationships/hyperlink" Id="rId15"/>
    <Relationship TargetMode="External" Target="https://www.legis.iowa.gov/docs/iac/rule/189.12.4.pdf" Type="http://schemas.openxmlformats.org/officeDocument/2006/relationships/hyperlink" Id="rId16"/>
    <Relationship TargetMode="External" Target="https://www.legis.iowa.gov/docs/ico/chapter/533.203.pdf" Type="http://schemas.openxmlformats.org/officeDocument/2006/relationships/hyperlink" Id="rId17"/>
    <Relationship TargetMode="External" Target="https://www.legis.iowa.gov/docs/iac/rule/189.12.2.pdf" Type="http://schemas.openxmlformats.org/officeDocument/2006/relationships/hyperlink" Id="rId18"/>
    <Relationship TargetMode="External" Target="https://www.legis.iowa.gov/docs/ico/chapter/533.203.pdf" Type="http://schemas.openxmlformats.org/officeDocument/2006/relationships/hyperlink" Id="rId19"/>
    <Relationship TargetMode="External" Target="https://www.legis.iowa.gov/docs/ico/chapter/533.203.pdf" Type="http://schemas.openxmlformats.org/officeDocument/2006/relationships/hyperlink" Id="rId20"/>
    <Relationship TargetMode="External" Target="https://www.legis.iowa.gov/docs/iac/rule/189.12.11.pdf" Type="http://schemas.openxmlformats.org/officeDocument/2006/relationships/hyperlink" Id="rId21"/>
    <Relationship TargetMode="External" Target="https://www.legis.iowa.gov/docs/iac/rule/189.12.11.pdf" Type="http://schemas.openxmlformats.org/officeDocument/2006/relationships/hyperlink" Id="rId22"/>
    <Relationship TargetMode="External" Target="https://www.legis.iowa.gov/docs/iac/rule/189.12.12.pdf" Type="http://schemas.openxmlformats.org/officeDocument/2006/relationships/hyperlink" Id="rId23"/>
    <Relationship TargetMode="External" Target="https://www.legis.iowa.gov/docs/iac/rule/189.12.12.pdf" Type="http://schemas.openxmlformats.org/officeDocument/2006/relationships/hyperlink" Id="rId24"/>
    <Relationship TargetMode="External" Target="https://www.legis.iowa.gov/docs/ico/chapter/533.201.pdf" Type="http://schemas.openxmlformats.org/officeDocument/2006/relationships/hyperlink" Id="rId25"/>
    <Relationship TargetMode="External" Target="https://www.legis.iowa.gov/docs/ico/chapter/533.201.pdf" Type="http://schemas.openxmlformats.org/officeDocument/2006/relationships/hyperlink" Id="rId26"/>
    <Relationship TargetMode="External" Target="https://www.legis.iowa.gov/docs/ico/chapter/533.201.pdf" Type="http://schemas.openxmlformats.org/officeDocument/2006/relationships/hyperlink" Id="rId27"/>
    <Relationship TargetMode="External" Target="https://www.legis.iowa.gov/docs/iac/rule/189.12.11.pdf" Type="http://schemas.openxmlformats.org/officeDocument/2006/relationships/hyperlink" Id="rId28"/>
    <Relationship TargetMode="External" Target="https://www.legis.iowa.gov/docs/iac/rule/189.12.11.pdf" Type="http://schemas.openxmlformats.org/officeDocument/2006/relationships/hyperlink" Id="rId29"/>
    <Relationship TargetMode="External" Target="https://www.legis.iowa.gov/docs/iac/rule/189.12.2.pdf" Type="http://schemas.openxmlformats.org/officeDocument/2006/relationships/hyperlink" Id="rId30"/>
    <Relationship TargetMode="External" Target="https://www.legis.iowa.gov/docs/iac/rule/189.12.12.pdf" Type="http://schemas.openxmlformats.org/officeDocument/2006/relationships/hyperlink" Id="rId31"/>
    <Relationship TargetMode="External" Target="https://www.legis.iowa.gov/docs/ico/chapter/533.203.pdf" Type="http://schemas.openxmlformats.org/officeDocument/2006/relationships/hyperlink" Id="rId32"/>
    <Relationship TargetMode="External" Target="https://www.legis.iowa.gov/docs/iac/rule/189.12.11.pdf" Type="http://schemas.openxmlformats.org/officeDocument/2006/relationships/hyperlink" Id="rId33"/>
    <Relationship TargetMode="External" Target="https://www.legis.iowa.gov/docs/iac/rule/189.12.11.pdf" Type="http://schemas.openxmlformats.org/officeDocument/2006/relationships/hyperlink" Id="rId34"/>
    <Relationship TargetMode="External" Target="https://www.legis.iowa.gov/docs/iac/rule/189.12.12.pdf" Type="http://schemas.openxmlformats.org/officeDocument/2006/relationships/hyperlink" Id="rId35"/>
    <Relationship TargetMode="External" Target="https://www.legis.iowa.gov/docs/iac/rule/189.12.12.pdf" Type="http://schemas.openxmlformats.org/officeDocument/2006/relationships/hyperlink" Id="rId36"/>
    <Relationship TargetMode="External" Target="https://www.legis.iowa.gov/docs/iac/rule/189.12.11.pdf" Type="http://schemas.openxmlformats.org/officeDocument/2006/relationships/hyperlink" Id="rId37"/>
    <Relationship TargetMode="External" Target="https://www.legis.iowa.gov/docs/iac/rule/189.12.11.pdf" Type="http://schemas.openxmlformats.org/officeDocument/2006/relationships/hyperlink" Id="rId38"/>
    <Relationship TargetMode="External" Target="https://www.legis.iowa.gov/docs/iac/rule/189.12.12.pdf" Type="http://schemas.openxmlformats.org/officeDocument/2006/relationships/hyperlink" Id="rId39"/>
    <Relationship TargetMode="External" Target="https://www.legis.iowa.gov/docs/iac/rule/189.12.12.pdf" Type="http://schemas.openxmlformats.org/officeDocument/2006/relationships/hyperlink" Id="rId40"/>
    <Relationship TargetMode="External" Target="https://www.legis.iowa.gov/docs/ico/chapter/533.203.pdf" Type="http://schemas.openxmlformats.org/officeDocument/2006/relationships/hyperlink" Id="rId41"/>
    <Relationship TargetMode="External" Target="https://www.legis.iowa.gov/docs/iac/rule/189.12.11.pdf" Type="http://schemas.openxmlformats.org/officeDocument/2006/relationships/hyperlink" Id="rId42"/>
    <Relationship TargetMode="External" Target="https://www.legis.iowa.gov/docs/iac/rule/189.12.11.pdf" Type="http://schemas.openxmlformats.org/officeDocument/2006/relationships/hyperlink" Id="rId43"/>
    <Relationship TargetMode="External" Target="https://www.legis.iowa.gov/docs/iac/rule/189.12.12.pdf" Type="http://schemas.openxmlformats.org/officeDocument/2006/relationships/hyperlink" Id="rId44"/>
    <Relationship TargetMode="External" Target="https://www.legis.iowa.gov/docs/iac/rule/189.12.12.pdf" Type="http://schemas.openxmlformats.org/officeDocument/2006/relationships/hyperlink" Id="rId45"/>
    <Relationship TargetMode="External" Target="https://www.legis.iowa.gov/docs/ico/chapter/533.203.pdf" Type="http://schemas.openxmlformats.org/officeDocument/2006/relationships/hyperlink" Id="rId46"/>
    <Relationship TargetMode="External" Target="https://www.legis.iowa.gov/docs/iac/rule/189.12.11.pdf" Type="http://schemas.openxmlformats.org/officeDocument/2006/relationships/hyperlink" Id="rId47"/>
    <Relationship TargetMode="External" Target="https://www.legis.iowa.gov/docs/iac/rule/189.12.11.pdf" Type="http://schemas.openxmlformats.org/officeDocument/2006/relationships/hyperlink" Id="rId48"/>
    <Relationship TargetMode="External" Target="https://www.legis.iowa.gov/docs/iac/rule/189.12.12.pdf" Type="http://schemas.openxmlformats.org/officeDocument/2006/relationships/hyperlink" Id="rId49"/>
    <Relationship TargetMode="External" Target="https://www.legis.iowa.gov/docs/iac/rule/189.12.12.pdf" Type="http://schemas.openxmlformats.org/officeDocument/2006/relationships/hyperlink" Id="rId50"/>
    <Relationship TargetMode="External" Target="https://www.legis.iowa.gov/docs/ico/chapter/533.203.pdf" Type="http://schemas.openxmlformats.org/officeDocument/2006/relationships/hyperlink" Id="rId51"/>
    <Relationship TargetMode="External" Target="https://www.legis.iowa.gov/docs/iac/rule/189.12.11.pdf" Type="http://schemas.openxmlformats.org/officeDocument/2006/relationships/hyperlink" Id="rId52"/>
    <Relationship TargetMode="External" Target="https://www.legis.iowa.gov/docs/iac/rule/189.12.11.pdf" Type="http://schemas.openxmlformats.org/officeDocument/2006/relationships/hyperlink" Id="rId53"/>
    <Relationship TargetMode="External" Target="https://www.legis.iowa.gov/docs/iac/chapter/189.3.pdf" Type="http://schemas.openxmlformats.org/officeDocument/2006/relationships/hyperlink" Id="rId54"/>
    <Relationship TargetMode="External" Target="https://www.legis.iowa.gov/docs/ico/chapter/533.201.pdf" Type="http://schemas.openxmlformats.org/officeDocument/2006/relationships/hyperlink" Id="rId55"/>
    <Relationship TargetMode="External" Target="https://www.legis.iowa.gov/docs/ico/chapter/533.203.pdf" Type="http://schemas.openxmlformats.org/officeDocument/2006/relationships/hyperlink" Id="rId56"/>
    <Relationship TargetMode="External" Target="https://www.legis.iowa.gov/docs/ico/chapter/533.203A.pdf" Type="http://schemas.openxmlformats.org/officeDocument/2006/relationships/hyperlink" Id="rId57"/>
    <Relationship TargetMode="External" Target="https://www.legis.iowa.gov/docs/ico/chapter/533.204.pdf" Type="http://schemas.openxmlformats.org/officeDocument/2006/relationships/hyperlink" Id="rId58"/>
    <Relationship TargetMode="External" Target="https://www.legis.iowa.gov/docs/ico/chapter/533.208.pdf" Type="http://schemas.openxmlformats.org/officeDocument/2006/relationships/hyperlink" Id="rId59"/>
    <Relationship TargetMode="External" Target="https://www.legis.iowa.gov/docs/ico/chapter/533.213.pdf" Type="http://schemas.openxmlformats.org/officeDocument/2006/relationships/hyperlink" Id="rId60"/>
    <Relationship TargetMode="External" Target="https://www.legis.iowa.gov/docs/ico/chapter/533.401.pdf" Type="http://schemas.openxmlformats.org/officeDocument/2006/relationships/hyperlink" Id="rId61"/>
    <Relationship TargetMode="External" Target="https://www.legis.iowa.gov/docs/ico/chapter/533.403.pdf" Type="http://schemas.openxmlformats.org/officeDocument/2006/relationships/hyperlink" Id="rId62"/>
    <Relationship TargetMode="External" Target="https://www.legis.iowa.gov/docs/ico/chapter/533.405.pdf" Type="http://schemas.openxmlformats.org/officeDocument/2006/relationships/hyperlink" Id="rId6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