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189—1.1</w:t>
      </w:r>
      <w:r>
        <w:rPr>
          <w:rFonts w:ascii="Times New Roman" w:hAnsi="Times New Roman"/>
          <w:b/>
          <w:i w:val="false"/>
          <w:color w:val="000000"/>
          <w:sz w:val="22"/>
        </w:rPr>
        <w:t xml:space="preserve">(533)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of terms included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shall apply to such terms used in this chapter. In addition,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credit union review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credit union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means the superintendent of the credit union division.</w:t>
      </w:r>
    </w:p>
    <w:p>
      <w:pPr>
        <w:spacing w:before="210" w:after="0"/>
        <w:ind w:left="120"/>
        <w:jc w:val="both"/>
      </w:pPr>
      <w:r>
        <w:rPr>
          <w:rFonts w:ascii="Times New Roman" w:hAnsi="Times New Roman"/>
          <w:b/>
          <w:i w:val="false"/>
          <w:color w:val="000000"/>
          <w:sz w:val="22"/>
        </w:rPr>
        <w:t>189—1.2</w:t>
      </w:r>
      <w:r>
        <w:rPr>
          <w:rFonts w:ascii="Times New Roman" w:hAnsi="Times New Roman"/>
          <w:b/>
          <w:i w:val="false"/>
          <w:color w:val="000000"/>
          <w:sz w:val="22"/>
        </w:rPr>
        <w:t xml:space="preserve">(17A,533) </w:t>
      </w:r>
      <w:r>
        <w:rPr>
          <w:rFonts w:ascii="Times New Roman" w:hAnsi="Times New Roman"/>
          <w:b/>
          <w:i w:val="false"/>
          <w:color w:val="000000"/>
          <w:sz w:val="22"/>
        </w:rPr>
        <w:t xml:space="preserve">Scope and application. </w:t>
      </w:r>
      <w:r>
        <w:rPr>
          <w:rFonts w:ascii="Times New Roman" w:hAnsi="Times New Roman"/>
          <w:b w:val="false"/>
          <w:i w:val="false"/>
          <w:color w:val="000000"/>
          <w:sz w:val="22"/>
        </w:rPr>
        <w:t>This chapter describes the office of the superintendent and the methods whereby the public may obtain forms, instructions, and information regarding credit unions.</w:t>
      </w:r>
    </w:p>
    <w:p>
      <w:pPr>
        <w:spacing w:before="0" w:after="0"/>
        <w:ind w:left="120"/>
        <w:jc w:val="both"/>
      </w:pPr>
      <w:r>
        <w:rPr>
          <w:rFonts w:ascii="Times New Roman" w:hAnsi="Times New Roman"/>
          <w:b/>
          <w:i w:val="false"/>
          <w:color w:val="000000"/>
          <w:sz w:val="22"/>
        </w:rPr>
        <w:t>189—1.3</w:t>
      </w:r>
      <w:r>
        <w:rPr>
          <w:rFonts w:ascii="Times New Roman" w:hAnsi="Times New Roman"/>
          <w:b/>
          <w:i w:val="false"/>
          <w:color w:val="000000"/>
          <w:sz w:val="22"/>
        </w:rPr>
        <w:t xml:space="preserve">(17A,533) </w:t>
      </w:r>
      <w:r>
        <w:rPr>
          <w:rFonts w:ascii="Times New Roman" w:hAnsi="Times New Roman"/>
          <w:b/>
          <w:i w:val="false"/>
          <w:color w:val="000000"/>
          <w:sz w:val="22"/>
        </w:rPr>
        <w:t xml:space="preserve">Credit union division. </w:t>
      </w:r>
      <w:r>
        <w:rPr>
          <w:rFonts w:ascii="Times New Roman" w:hAnsi="Times New Roman"/>
          <w:b w:val="false"/>
          <w:i w:val="false"/>
          <w:color w:val="000000"/>
          <w:sz w:val="22"/>
        </w:rPr>
        <w:t>The division is the office of the superintendent and other personnel who discharge the duties and responsibilities imposed upon the superintendent by the laws of this state. The superintendent has general supervisory and regulatory authority over all state chartered credit unions.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Central organization—superintendent. </w:t>
      </w:r>
      <w:r>
        <w:rPr>
          <w:rFonts w:ascii="Times New Roman" w:hAnsi="Times New Roman"/>
          <w:b w:val="false"/>
          <w:i w:val="false"/>
          <w:color w:val="000000"/>
          <w:sz w:val="22"/>
        </w:rPr>
        <w:t>The superintendent is appointed by the governor and approved by the senate. The superintendent is the head of the credit union division with offices located at 200 East Grand Avenue, Suite 370, Des Moines, Iowa 50309. Rules may be promulgated by the superintendent subject to prior approval by the board. The superintendent may employ personnel as necessary to carry out the provisions of the credit union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Credit union review board. </w:t>
      </w:r>
      <w:r>
        <w:rPr>
          <w:rFonts w:ascii="Times New Roman" w:hAnsi="Times New Roman"/>
          <w:b w:val="false"/>
          <w:i w:val="false"/>
          <w:color w:val="000000"/>
          <w:sz w:val="22"/>
        </w:rPr>
        <w:t>The credit union review board is composed of seven members who are appointed by the governor and approved by the senate. With the exception of four members first appointed as of January 1, 1979, board members serve for a three-year term. The board may adopt, amend, and repeal rules or take other action it deems necessary or suitable to effect the provisions of the credit union law. The board meets at least four times each year and special meetings may be called by the chairperson. A majority of the members of the board shall constitute a quorum to transact business.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533.107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189—1.4</w:t>
      </w:r>
      <w:r>
        <w:rPr>
          <w:rFonts w:ascii="Times New Roman" w:hAnsi="Times New Roman"/>
          <w:b/>
          <w:i w:val="false"/>
          <w:color w:val="000000"/>
          <w:sz w:val="22"/>
        </w:rPr>
        <w:t xml:space="preserve">(17A,533) </w:t>
      </w:r>
      <w:r>
        <w:rPr>
          <w:rFonts w:ascii="Times New Roman" w:hAnsi="Times New Roman"/>
          <w:b/>
          <w:i w:val="false"/>
          <w:color w:val="000000"/>
          <w:sz w:val="22"/>
        </w:rPr>
        <w:t xml:space="preserve">Forms and instructions. </w:t>
      </w:r>
      <w:r>
        <w:rPr>
          <w:rFonts w:ascii="Times New Roman" w:hAnsi="Times New Roman"/>
          <w:b w:val="false"/>
          <w:i w:val="false"/>
          <w:color w:val="000000"/>
          <w:sz w:val="22"/>
        </w:rPr>
        <w:t>Information concerning the forms and instructions of the superintendent is available at the offices of the credit union division during usual business hours,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daily, excluding Saturdays, Sundays and holidays. Copies of the forms and instructions are also available at the credit union division’s Web site at </w:t>
      </w:r>
      <w:hyperlink r:id="rId7">
        <w:r>
          <w:rPr>
            <w:rStyle w:val="Hyperlink"/>
            <w:rFonts w:ascii="Times New Roman" w:hAnsi="Times New Roman"/>
            <w:b w:val="false"/>
            <w:i w:val="false"/>
            <w:color w:val="000000"/>
            <w:sz w:val="22"/>
            <w:u w:val="single"/>
          </w:rPr>
          <w:t>https://creditunions.iowa.gov/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533.102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1678C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8/10/79, Notice 5/30/79—published 9/5/79, effective 10/10/79]</w:t>
      </w:r>
    </w:p>
    <w:p>
      <w:pPr>
        <w:spacing w:before="0" w:after="0"/>
        <w:ind w:left="120"/>
        <w:jc w:val="center"/>
      </w:pPr>
      <w:r>
        <w:rPr>
          <w:rFonts w:ascii="Times New Roman" w:hAnsi="Times New Roman"/>
          <w:b w:val="false"/>
          <w:i w:val="false"/>
          <w:color w:val="000000"/>
          <w:sz w:val="21"/>
        </w:rPr>
        <w:t>[Filed emergency 12/8/82—published 1/5/83, effective 12/8/82]</w:t>
      </w:r>
    </w:p>
    <w:p>
      <w:pPr>
        <w:spacing w:before="0" w:after="0"/>
        <w:ind w:left="120"/>
        <w:jc w:val="center"/>
      </w:pPr>
      <w:r>
        <w:rPr>
          <w:rFonts w:ascii="Times New Roman" w:hAnsi="Times New Roman"/>
          <w:b w:val="false"/>
          <w:i w:val="false"/>
          <w:color w:val="000000"/>
          <w:sz w:val="21"/>
        </w:rPr>
        <w:t>[Filed emergency 10/28/87—published 11/18/87, effective 11/18/87]</w:t>
      </w:r>
    </w:p>
    <w:p>
      <w:pPr>
        <w:spacing w:before="0" w:after="0"/>
        <w:ind w:left="120"/>
        <w:jc w:val="center"/>
      </w:pPr>
      <w:r>
        <w:rPr>
          <w:rFonts w:ascii="Times New Roman" w:hAnsi="Times New Roman"/>
          <w:b w:val="false"/>
          <w:i w:val="false"/>
          <w:color w:val="000000"/>
          <w:sz w:val="21"/>
        </w:rPr>
        <w:t>[Filed 1/31/03, Notice 12/25/02—published 2/19/03, effective 3/26/03]</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1678C</w:t>
      </w:r>
      <w:r>
        <w:rPr>
          <w:rFonts w:ascii="Times New Roman" w:hAnsi="Times New Roman"/>
          <w:b w:val="false"/>
          <w:i w:val="false"/>
          <w:color w:val="000000"/>
          <w:sz w:val="21"/>
        </w:rPr>
        <w:t xml:space="preserve"> (Notice ARC 1580C, IAB 8/20/14)</w:t>
      </w:r>
      <w:r>
        <w:rPr>
          <w:rFonts w:ascii="Times New Roman" w:hAnsi="Times New Roman"/>
          <w:b w:val="false"/>
          <w:i w:val="false"/>
          <w:color w:val="000000"/>
          <w:sz w:val="21"/>
        </w:rPr>
        <w:t>, IAB 10/15/14, effective 11/19/14]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533.107.pdf" Type="http://schemas.openxmlformats.org/officeDocument/2006/relationships/hyperlink" Id="rId6"/>
    <Relationship TargetMode="External" Target="https://creditunions.iowa.gov/" Type="http://schemas.openxmlformats.org/officeDocument/2006/relationships/hyperlink" Id="rId7"/>
    <Relationship TargetMode="External" Target="https://www.legis.iowa.gov/docs/ico/chapter/533.10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