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 xml:space="preserve"> INVESTMENT AND LENDING POWERS </w:t>
      </w:r>
    </w:p>
    <w:p>
      <w:pPr>
        <w:spacing w:before="0" w:after="0"/>
        <w:ind w:left="120"/>
        <w:jc w:val="center"/>
      </w:pPr>
      <w:r>
        <w:rPr>
          <w:rFonts w:ascii="Times New Roman" w:hAnsi="Times New Roman"/>
          <w:b w:val="false"/>
          <w:i w:val="false"/>
          <w:color w:val="000000"/>
          <w:sz w:val="20"/>
        </w:rPr>
        <w:t>[Prior to 4/22/87, see Banking Department[140] Ch 9]</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187—9.1</w:t>
      </w:r>
      <w:r>
        <w:rPr>
          <w:rFonts w:ascii="Times New Roman" w:hAnsi="Times New Roman"/>
          <w:b/>
          <w:i w:val="false"/>
          <w:color w:val="000000"/>
          <w:sz w:val="22"/>
        </w:rPr>
        <w:t xml:space="preserve">(17A,524) </w:t>
      </w:r>
      <w:r>
        <w:rPr>
          <w:rFonts w:ascii="Times New Roman" w:hAnsi="Times New Roman"/>
          <w:b/>
          <w:i w:val="false"/>
          <w:color w:val="000000"/>
          <w:sz w:val="22"/>
        </w:rPr>
        <w:t xml:space="preserve">Real estate lending. </w:t>
      </w:r>
      <w:r>
        <w:rPr>
          <w:rFonts w:ascii="Times New Roman" w:hAnsi="Times New Roman"/>
          <w:b w:val="false"/>
          <w:i w:val="false"/>
          <w:color w:val="000000"/>
          <w:sz w:val="22"/>
        </w:rPr>
        <w:t>This rule applies to real estate loans originated by a state bank or acquired by purchase, assignment,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Written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a state bank shall formulate and maintain a written real estate lending policy that is appropriate for its size and the nature and scope of its operation. Each policy must be comprehensive and consistent with safe and sound lending practices. The standards and limits established in the policy must be reviewed and approved at least annually by the board. The real estate lending policy should reflect the level of risk that is acceptable to the board and should provide clear and measurable underwriting standards that enable the state bank’s lending staff to evaluate all relevant credit factors. The real estate lending policy, at a minimum, should: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geographic area where the state bank will consider lending.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loan portfolio diversification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 appropriate terms and conditions by type of real estate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Establish loan origination and approval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 prudent underwriting standards that include clear and measurable loan-to-value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Establish review and approval procedures for exempted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Establish loan administration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Establish real estate appraisal and evaluation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Require the bank to monitor the portfolio and provide timely reports to the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Establish procedures for conformance with secondary market investor requirements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formulating the real estate policy, the board should consider both internal and external factors, such as size and condition of the state bank, expertise of its lending staff, avoidance of undue concentrations of risk, compliance with all real estate-related laws and rules, and general market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Loan-to-value limits. </w:t>
      </w:r>
      <w:r>
        <w:rPr>
          <w:rFonts w:ascii="Times New Roman" w:hAnsi="Times New Roman"/>
          <w:b w:val="false"/>
          <w:i w:val="false"/>
          <w:color w:val="000000"/>
          <w:sz w:val="22"/>
        </w:rPr>
        <w:t>The board of directors of the state bank shall establish its own internal loan-to-value (LTV) limits for real estate loans.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color w:val="000000"/>
          <w:sz w:val="22"/>
        </w:rPr>
        <w:t xml:space="preserve">In-transit loans. </w:t>
      </w:r>
      <w:r>
        <w:rPr>
          <w:rFonts w:ascii="Times New Roman" w:hAnsi="Times New Roman"/>
          <w:b w:val="false"/>
          <w:i w:val="false"/>
          <w:color w:val="000000"/>
          <w:sz w:val="22"/>
        </w:rPr>
        <w:t>Real estate loans made for sale into the secondary market are considered in transit for a period of 90 days after being sold and are not considered risk assets for reserving purposes during this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color w:val="000000"/>
          <w:sz w:val="22"/>
        </w:rPr>
        <w:t xml:space="preserve">Evidence of title. </w:t>
      </w:r>
      <w:r>
        <w:rPr>
          <w:rFonts w:ascii="Times New Roman" w:hAnsi="Times New Roman"/>
          <w:b w:val="false"/>
          <w:i w:val="false"/>
          <w:color w:val="000000"/>
          <w:sz w:val="22"/>
        </w:rPr>
        <w:t>The state bank shall obtain, when lending for the purpose of acquisition or for the purpose of refinance of acquisition of an interest in real estate that is an owner-occupied one- to four-family dwelling occupied or used or intended to be occupied for residential purposes, when a new mortgage, deed of trust, or similar instrument is filed,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legal opinion by an attorney admitted to practice in the state in which the real estate is located showing marketable title in the mortgagor and describing any existing liens and stating that the state bank’s mortgage, deed of trust, or similar instrument is a lien on the real estate. An Iowa title guaranty certificate issued by the Iowa title guaranty division of the Iowa finance authority satisfies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Title insurance written by an insurance company licensed to do business in the state in which the real property is located describing any existing liens and insuring the title to the real property and the validity and enforceability of the mortgage, deed of trust, or similar instrument as a lien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Because other factors significantly outweigh the need to apply the provisions of this rule in certain real estate transactions, the following transactions are exempt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Loans guaranteed, insured, or for which a written commitment for such has been issued by the U.S. government or its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Loans guaranteed, insured, or for which a written commitment for such has been issued by the state of Iowa, a political subdivision, or agency thereof, provided that the state bank has determined that the guarantor or insurer has the financial capacity and willingness to perform under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Acceptance of real estate as collateral to secure debts previously contracted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Securities collateralized by real estate, but in which a state bank may invest pursuant to Iowa Code section </w:t>
      </w:r>
      <w:hyperlink r:id="rId5">
        <w:r>
          <w:rPr>
            <w:rStyle w:val="Hyperlink"/>
            <w:rFonts w:ascii="Times New Roman" w:hAnsi="Times New Roman"/>
            <w:b w:val="false"/>
            <w:i w:val="false"/>
            <w:color w:val="000000"/>
            <w:sz w:val="22"/>
          </w:rPr>
          <w:t>524.901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 the prior approval of the superintendent, any other loans approved, issued, insured, or guaranteed by any other federal or state-sponsored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w:t>
      </w:r>
      <w:r>
        <w:rPr>
          <w:rFonts w:ascii="Times New Roman" w:hAnsi="Times New Roman"/>
          <w:b w:val="false"/>
          <w:i w:val="false"/>
          <w:color w:val="000000"/>
          <w:sz w:val="22"/>
        </w:rPr>
        <w:t> </w:t>
      </w:r>
      <w:r>
        <w:rPr>
          <w:rFonts w:ascii="Times New Roman" w:hAnsi="Times New Roman"/>
          <w:b w:val="false"/>
          <w:i/>
          <w:color w:val="000000"/>
          <w:sz w:val="22"/>
        </w:rPr>
        <w:t xml:space="preserve">Exempted transactions. </w:t>
      </w:r>
      <w:r>
        <w:rPr>
          <w:rFonts w:ascii="Times New Roman" w:hAnsi="Times New Roman"/>
          <w:b w:val="false"/>
          <w:i w:val="false"/>
          <w:color w:val="000000"/>
          <w:sz w:val="22"/>
        </w:rPr>
        <w:t xml:space="preserve">In addition to the exemptions set forth in subrule </w:t>
      </w:r>
      <w:hyperlink r:id="rId6">
        <w:r>
          <w:rPr>
            <w:rStyle w:val="Hyperlink"/>
            <w:rFonts w:ascii="Times New Roman" w:hAnsi="Times New Roman"/>
            <w:b w:val="false"/>
            <w:i w:val="false"/>
            <w:color w:val="000000"/>
            <w:sz w:val="22"/>
          </w:rPr>
          <w:t>9.2(5)</w:t>
        </w:r>
      </w:hyperlink>
      <w:r>
        <w:rPr>
          <w:rFonts w:ascii="Times New Roman" w:hAnsi="Times New Roman"/>
          <w:b w:val="false"/>
          <w:i w:val="false"/>
          <w:color w:val="000000"/>
          <w:sz w:val="22"/>
        </w:rPr>
        <w:t>, it may be appropriate, in light of all relevant credit considerations, including community reinvestment factors, for state banks, in certain instances, to originate or purchase real estate loans that do not meet the requirements of this rule. State banks are allowed to make such loans; however, the aggregate amount of all real estate loans that fall into this category shall not exceed aggregate capital as reflected on the state bank’s most recent consolidated report of condition, unless prior approval to exceed this limitation has been obtained from the superintendent. These exempted loans must be identified by the board of directors by name and outstanding balance and be reviewed by the board at least annually. Examiners, during the course of their examinations, will determine whether these exempted loans are adequately documented and appropriate in light of overall safety and soundness considerations. No real estate loans to directors, officers, or principal shareholders or their related interests shall be allowed in the exempted category of this subrule.</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7">
        <w:r>
          <w:rPr>
            <w:rStyle w:val="Hyperlink"/>
            <w:rFonts w:ascii="Times New Roman" w:hAnsi="Times New Roman"/>
            <w:b w:val="false"/>
            <w:i w:val="false"/>
            <w:color w:val="000000"/>
            <w:sz w:val="22"/>
          </w:rPr>
          <w:t>524.905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0586D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187—9.2</w:t>
      </w:r>
      <w:r>
        <w:rPr>
          <w:rFonts w:ascii="Times New Roman" w:hAnsi="Times New Roman"/>
          <w:b/>
          <w:i w:val="false"/>
          <w:color w:val="000000"/>
          <w:sz w:val="22"/>
        </w:rPr>
        <w:t xml:space="preserve">(17A,524) </w:t>
      </w:r>
      <w:r>
        <w:rPr>
          <w:rFonts w:ascii="Times New Roman" w:hAnsi="Times New Roman"/>
          <w:b/>
          <w:i w:val="false"/>
          <w:color w:val="000000"/>
          <w:sz w:val="22"/>
        </w:rPr>
        <w:t xml:space="preserve">Leasing.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“Aggregate rentals payable”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total of minimum lease payments (net of unearned income) that the lessee is obligated to make or can be required to make plus any guarantee of the residual value or of rental payments beyond the lease term by an eligible guarantor, provided the guarantor is financially capable of discharging the obligation.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payout lease”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one in which the lessor’s service is limited to the financing of the asset, with the lessee paying all other costs, including maintenance and taxes, and has the option of purchasing the asset at the end of the lease for a nominal price. The lease shall be fully amortized over the term of the lease or lifetime of the asset, whichever is 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“Inception”</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date of the lease agreement or commitment, if earlier, or the date the lease is purchased by the state bank. For purposes of this definition, a commitment shall be in writing, signed by the parties in interest to the transaction, and specifically set forth the principal terms of the transaction. However, if the property covered by the lease is a fixture yet to be constructed or has not been acquired by the lessor at the date of the lease agreement or commitment, the inception is the date that construction of the property is completed or the property is acquired by the lessor. The inception date of a lease assumed in a business combination accounted for as a purchase is the date the combination is recorded for accounting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third-party appraiser”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 individual not involved with the lease transaction, except as the appraiser, with no direct or indirect interest, financial or otherwise, in the property appraised or the parties involved with the transaction. The bank shall take appropriate steps to ensure the appraiser exercises independent judgment and that the appraisal is adequate.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“Lease servicer”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 entity that collects monthly principal and interest payments from the lessee and then forwards the payments to the purchasing institution or maintains lease records for a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“Leasing company”</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 enterprise that makes leases or assembles leases for resale to a bank. Leases acquired by a state bank from an affiliated leasing company will be treated for purposes of this rule the same as if the lease was originated by the bank itself. The provisions of Iowa Code section </w:t>
      </w:r>
      <w:hyperlink r:id="rId8">
        <w:r>
          <w:rPr>
            <w:rStyle w:val="Hyperlink"/>
            <w:rFonts w:ascii="Times New Roman" w:hAnsi="Times New Roman"/>
            <w:b w:val="false"/>
            <w:i w:val="false"/>
            <w:color w:val="000000"/>
            <w:sz w:val="22"/>
          </w:rPr>
          <w:t>524.1101</w:t>
        </w:r>
      </w:hyperlink>
      <w:r>
        <w:rPr>
          <w:rFonts w:ascii="Times New Roman" w:hAnsi="Times New Roman"/>
          <w:b w:val="false"/>
          <w:i w:val="false"/>
          <w:color w:val="000000"/>
          <w:sz w:val="22"/>
        </w:rPr>
        <w:t xml:space="preserve"> apply when determining if an affiliate relationship exists.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“Lessee”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party using the leased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“Lessor”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party owning the leased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“Residual value”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estimated fair value of the leased property at the end of the lease term.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General direct and purchased lease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The board of directors of the state bank shall formulate and maintain a written lease policy that is appropriate for the size, nature and scope of the bank’s operation. Each policy must be comprehensive and consistent with safe and sound banking practices. The standards and limits established in the policy must be reviewed and approved at least annually by the board. The bank’s lease policy, at a minimum, should: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acceptable lease servicers and lessors (purchased leases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aggregate volume of paper to be purchased from approved servicers and lessors (purchased leases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geographic area where the bank will consider purchasing or originating 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Establish lease portfolio diversification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 appropriate terms and conditions by type of 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Establish lease origination and approval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Establish prudent underwriting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Establish lease administration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Establish appraisal and evaluation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Monitor the portfolio and provide timely reports to the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Set forth permitted exceptions to the policy.</w:t>
      </w:r>
    </w:p>
    <w:p>
      <w:pPr>
        <w:spacing w:before="0" w:after="0"/>
        <w:ind w:left="120"/>
        <w:jc w:val="both"/>
      </w:pPr>
      <w:r>
        <w:rPr>
          <w:rFonts w:ascii="Times New Roman" w:hAnsi="Times New Roman"/>
          <w:b w:val="false"/>
          <w:i w:val="false"/>
          <w:color w:val="000000"/>
          <w:sz w:val="22"/>
        </w:rPr>
        <w:t>When formulating the lease policy, the board should consider both internal and external factors, such as size and condition of the state bank, expertise of the lending staff, avoidance of undue concentrations of risk, and general market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bank is serving as lessor or acquiring a lease through purchase, a bank employee shall perform an independent credit analysis of 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bank or an affiliated leasing company shall obtain collateral values, lien status, lease agreements, participation agreements, and title documentation within 45 calendar days from inception with original documentation being maintained in the bank’s or affiliated leasing company’s credit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 A bank employee, an officer of an affiliated lease originator, or an independent third-party appraiser shall conduct at inception, and at least annually thereafter, an inspection of the leased tangible personal property, unless prior approval to waive the inspection requirements has been obtained from the superintendent. For a lease to a governmental unit, the bank shall conduct an inspection at inception or maintain written verification by an official of the governmental unit to confirm the existence of the leased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Ongoing documentation requirements to support the lease are the same as if the bank had made a direct loan to the lessee for purchase of the asset being 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lease shall be a full payout lease that is a noncancelable obligation of the lessee with the obligation serving the same purpose as other forms of bank financing. For purposes of this rule, a lease to a governmental unit that contains a fiscal funding clause would be considered a noncancelable lease if the likelihood of exercise of the fiscal funding clause is assessed as being remote.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 Property covered by the lease is limited to tangible personal property, excluding livestock. In addition, a state bank may purchase or construct a municipal building, and, as holder of legal title, lease the same to a municipality or other public authority having resources sufficient to make payment of all rentals as they become due. The lease agreement shall address liability issues and provide that upon its expiration the lessee will become owner of the building or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lease shall require rental payments to be made on a periodic basis, but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term of a lease shall not exceed seven years if made to a nongovernmental unit or ten years if made to a governmental unit without the prior approval of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Aggregate rentals payable by the customer under leases of personal property shall conform to the limits imposed by Iowa Code section </w:t>
      </w:r>
      <w:hyperlink r:id="rId9">
        <w:r>
          <w:rPr>
            <w:rStyle w:val="Hyperlink"/>
            <w:rFonts w:ascii="Times New Roman" w:hAnsi="Times New Roman"/>
            <w:b w:val="false"/>
            <w:i w:val="false"/>
            <w:color w:val="000000"/>
            <w:sz w:val="22"/>
          </w:rPr>
          <w:t>524.904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lease receivables shall be booked in accordance with the instructions for preparation of the consolidated reports of condition and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Unguaranteed residual value established by the lessor for any lease, whether originated by the state bank or acquired through purchase, shall not exceed 25 percent of the original cost of the leased property. The amount of any estimated residual value guaranteed by a manufacturer, the lessee, or a third party that is not an affiliate of the bank may exceed 25 percent of the original cost of property where the bank has determined and can provide full supporting documentation that the guarantor has the resources to meet the guarantee. While this guideline prohibits unguaranteed residual values that exceed 25 percent of the original cost, the estimated residual value shall be reasonable in relation to the type of property leased so the primary risk taken by the bank is the creditworthiness of the lessee and not the market value of the leased property. All estimated residual values shall be reviewed at least annually. If the state bank carries the estimated residual value on its books and a review of the estimated residual value results in a lower estimate than had been previously established, the accounting for the transactions shall be revised using the new estimate. The resulting reduction in the net investment shall be recognized as a loss in the period in which the estimate is changed. An upward adjustment of the residual value shall not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Consumer leases, whether originated or purchased by a state bank, shall conform to Iowa Code section </w:t>
      </w:r>
      <w:hyperlink r:id="rId10">
        <w:r>
          <w:rPr>
            <w:rStyle w:val="Hyperlink"/>
            <w:rFonts w:ascii="Times New Roman" w:hAnsi="Times New Roman"/>
            <w:b w:val="false"/>
            <w:i w:val="false"/>
            <w:color w:val="000000"/>
            <w:sz w:val="22"/>
          </w:rPr>
          <w:t>537.3202</w:t>
        </w:r>
      </w:hyperlink>
      <w:r>
        <w:rPr>
          <w:rFonts w:ascii="Times New Roman" w:hAnsi="Times New Roman"/>
          <w:b w:val="false"/>
          <w:i w:val="false"/>
          <w:color w:val="000000"/>
          <w:sz w:val="22"/>
        </w:rPr>
        <w:t xml:space="preserve"> and Chapter 5 of the Truth-in-Lending Act (</w:t>
      </w:r>
      <w:r>
        <w:rPr>
          <w:rFonts w:ascii="Times New Roman" w:hAnsi="Times New Roman"/>
          <w:b w:val="false"/>
          <w:i w:val="false"/>
          <w:color w:val="000000"/>
          <w:sz w:val="22"/>
        </w:rPr>
        <w:t>15 U.S.C. 1601 et seq.</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affiliate of a state bank is regarded as the originator of a lease, the affiliate is subject to the provisions of Iowa Code section </w:t>
      </w:r>
      <w:hyperlink r:id="rId11">
        <w:r>
          <w:rPr>
            <w:rStyle w:val="Hyperlink"/>
            <w:rFonts w:ascii="Times New Roman" w:hAnsi="Times New Roman"/>
            <w:b w:val="false"/>
            <w:i w:val="false"/>
            <w:color w:val="000000"/>
            <w:sz w:val="22"/>
          </w:rPr>
          <w:t>524.1105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Specific purchased lease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If the obligations acquired carry full recourse endorsements, guaranty, or an agreement to repurchase of the lessor or servicer negotiating the sale of the leases, then the endorser, guarantor, or repurchaser shall also be deemed to be a customer of the bank. This customer’s obligation would be limited to 15 percent of aggregate capital of the state bank.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bank shall obtain on any lease servicer, at least annually, financial information or evidence of insurance coverage for errors, omissions, and fraudulent acts, and evaluate this information to determine the creditworthiness of the lease servicer. The bank shall maintain on file documentation that this insurance coverage is in an amount sufficient for the volume of leases being serviced by the lease servicer.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w:t>
      </w:r>
      <w:r>
        <w:rPr>
          <w:rFonts w:ascii="Times New Roman" w:hAnsi="Times New Roman"/>
          <w:b w:val="false"/>
          <w:i w:val="false"/>
          <w:color w:val="000000"/>
          <w:sz w:val="22"/>
        </w:rPr>
        <w:t> </w:t>
      </w:r>
      <w:r>
        <w:rPr>
          <w:rFonts w:ascii="Times New Roman" w:hAnsi="Times New Roman"/>
          <w:b w:val="false"/>
          <w:i/>
          <w:color w:val="000000"/>
          <w:sz w:val="22"/>
        </w:rPr>
        <w:t xml:space="preserve">Specific direct leasing guidelines. </w:t>
      </w:r>
      <w:r>
        <w:rPr>
          <w:rFonts w:ascii="Times New Roman" w:hAnsi="Times New Roman"/>
          <w:b w:val="false"/>
          <w:i w:val="false"/>
          <w:color w:val="000000"/>
          <w:sz w:val="22"/>
        </w:rPr>
        <w:t>Acceptable methods of accounting for investment tax credits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w:t>
      </w:r>
      <w:r>
        <w:rPr>
          <w:rFonts w:ascii="Times New Roman" w:hAnsi="Times New Roman"/>
          <w:b w:val="false"/>
          <w:i w:val="false"/>
          <w:color w:val="000000"/>
          <w:sz w:val="22"/>
        </w:rPr>
        <w:t> </w:t>
      </w:r>
      <w:r>
        <w:rPr>
          <w:rFonts w:ascii="Times New Roman" w:hAnsi="Times New Roman"/>
          <w:b w:val="false"/>
          <w:i/>
          <w:color w:val="000000"/>
          <w:sz w:val="22"/>
        </w:rPr>
        <w:t xml:space="preserve">Exempted transactions. </w:t>
      </w:r>
      <w:r>
        <w:rPr>
          <w:rFonts w:ascii="Times New Roman" w:hAnsi="Times New Roman"/>
          <w:b w:val="false"/>
          <w:i w:val="false"/>
          <w:color w:val="000000"/>
          <w:sz w:val="22"/>
        </w:rPr>
        <w:t xml:space="preserve">In some instances it may be appropriate, in light of all relevant credit considerations, to originate or purchase leases that do not conform with the requirements of paragraphs </w:t>
      </w:r>
      <w:hyperlink r:id="rId12">
        <w:r>
          <w:rPr>
            <w:rStyle w:val="Hyperlink"/>
            <w:rFonts w:ascii="Times New Roman" w:hAnsi="Times New Roman"/>
            <w:b w:val="false"/>
            <w:i w:val="false"/>
            <w:color w:val="000000"/>
            <w:sz w:val="22"/>
          </w:rPr>
          <w:t>9.3(2)</w:t>
        </w:r>
        <w:r>
          <w:rPr>
            <w:rFonts w:ascii="Times New Roman" w:hAnsi="Times New Roman"/>
            <w:b w:val="false"/>
            <w:i/>
            <w:color w:val="000000"/>
            <w:sz w:val="22"/>
          </w:rPr>
          <w:t>“c,”</w:t>
        </w:r>
      </w:hyperlink>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The outstanding aggregate rentals payable of all originated and purchased leases that fall into this category shall not exceed 25 percent of aggregate capital as reflected on the state bank’s most recent consolidated report of condition, unless prior approval to exceed this limitation has been obtained from the superintendent. These exempted leases shall be identified by the board of directors by name and outstanding balance and reviewed by the board at least annually. Examiners, during the course of their examinations, will determine whether these exempted leases are adequately documented and appropriate in light of overall safety and soundness considerations. No leases to directors, officers, or substantial shareholders or their related interests shall be allowed in the exempted category of this subrule. </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13">
        <w:r>
          <w:rPr>
            <w:rStyle w:val="Hyperlink"/>
            <w:rFonts w:ascii="Times New Roman" w:hAnsi="Times New Roman"/>
            <w:b w:val="false"/>
            <w:i w:val="false"/>
            <w:color w:val="000000"/>
            <w:sz w:val="22"/>
          </w:rPr>
          <w:t>524.908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0586D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December 9, 1969]</w:t>
      </w:r>
    </w:p>
    <w:p>
      <w:pPr>
        <w:spacing w:before="0" w:after="0"/>
        <w:ind w:left="120"/>
        <w:jc w:val="center"/>
      </w:pPr>
      <w:r>
        <w:rPr>
          <w:rFonts w:ascii="Times New Roman" w:hAnsi="Times New Roman"/>
          <w:b w:val="false"/>
          <w:i w:val="false"/>
          <w:color w:val="000000"/>
          <w:sz w:val="21"/>
        </w:rPr>
        <w:t>[Filed emergency after Notice 9/24/82, Notice 7/21/82—published 10/13/82, effective 9/24/82]</w:t>
      </w:r>
    </w:p>
    <w:p>
      <w:pPr>
        <w:spacing w:before="0" w:after="0"/>
        <w:ind w:left="120"/>
        <w:jc w:val="center"/>
      </w:pPr>
      <w:r>
        <w:rPr>
          <w:rFonts w:ascii="Times New Roman" w:hAnsi="Times New Roman"/>
          <w:b w:val="false"/>
          <w:i w:val="false"/>
          <w:color w:val="000000"/>
          <w:sz w:val="21"/>
        </w:rPr>
        <w:t>[Filed 4/1/87, Notice 2/25/87—published 4/22/87, effective 5/28/87]</w:t>
      </w:r>
    </w:p>
    <w:p>
      <w:pPr>
        <w:spacing w:before="0" w:after="0"/>
        <w:ind w:left="120"/>
        <w:jc w:val="center"/>
      </w:pPr>
      <w:r>
        <w:rPr>
          <w:rFonts w:ascii="Times New Roman" w:hAnsi="Times New Roman"/>
          <w:b w:val="false"/>
          <w:i w:val="false"/>
          <w:color w:val="000000"/>
          <w:sz w:val="21"/>
        </w:rPr>
        <w:t>[Filed emergency 8/11/93 after Notice 7/7/93—published 9/1/93, effective 8/11/93]</w:t>
      </w:r>
    </w:p>
    <w:p>
      <w:pPr>
        <w:spacing w:before="0" w:after="0"/>
        <w:ind w:left="120"/>
        <w:jc w:val="center"/>
      </w:pPr>
      <w:r>
        <w:rPr>
          <w:rFonts w:ascii="Times New Roman" w:hAnsi="Times New Roman"/>
          <w:b w:val="false"/>
          <w:i w:val="false"/>
          <w:color w:val="000000"/>
          <w:sz w:val="21"/>
        </w:rPr>
        <w:t>[Filed 4/21/94, Notice 3/16/94—published 5/11/94, effective 6/15/94]</w:t>
      </w:r>
    </w:p>
    <w:p>
      <w:pPr>
        <w:spacing w:before="0" w:after="0"/>
        <w:ind w:left="120"/>
        <w:jc w:val="center"/>
      </w:pPr>
      <w:r>
        <w:rPr>
          <w:rFonts w:ascii="Times New Roman" w:hAnsi="Times New Roman"/>
          <w:b w:val="false"/>
          <w:i w:val="false"/>
          <w:color w:val="000000"/>
          <w:sz w:val="21"/>
        </w:rPr>
        <w:t>[Filed 6/16/94, Notice 4/13/94—published 7/6/94, effective 8/10/94]</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ARC 4058C</w:t>
      </w:r>
      <w:r>
        <w:rPr>
          <w:rFonts w:ascii="Times New Roman" w:hAnsi="Times New Roman"/>
          <w:b w:val="false"/>
          <w:i w:val="false"/>
          <w:color w:val="000000"/>
          <w:sz w:val="21"/>
        </w:rPr>
        <w:t xml:space="preserve"> (Notice ARC 3953C,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6798C</w:t>
      </w:r>
      <w:r>
        <w:rPr>
          <w:rFonts w:ascii="Times New Roman" w:hAnsi="Times New Roman"/>
          <w:b w:val="false"/>
          <w:i w:val="false"/>
          <w:color w:val="000000"/>
          <w:sz w:val="21"/>
        </w:rPr>
        <w:t xml:space="preserve"> (Notice ARC 6605C, IAB 10/19/22)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0586D</w:t>
      </w:r>
      <w:r>
        <w:rPr>
          <w:rFonts w:ascii="Times New Roman" w:hAnsi="Times New Roman"/>
          <w:b w:val="false"/>
          <w:i w:val="false"/>
          <w:color w:val="000000"/>
          <w:sz w:val="21"/>
        </w:rPr>
        <w:t xml:space="preserve"> (Notice ARC 0359D, IAB 6/10/26)</w:t>
      </w:r>
      <w:r>
        <w:rPr>
          <w:rFonts w:ascii="Times New Roman" w:hAnsi="Times New Roman"/>
          <w:b w:val="false"/>
          <w:i w:val="false"/>
          <w:color w:val="000000"/>
          <w:sz w:val="21"/>
        </w:rPr>
        <w:t>, IAB 9/16/26, effective 10/21/26]</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4.901.pdf" Type="http://schemas.openxmlformats.org/officeDocument/2006/relationships/hyperlink" Id="rId5"/>
    <Relationship TargetMode="External" Target="https://www.legis.iowa.gov/docs/iac/rule/187.9.2.pdf" Type="http://schemas.openxmlformats.org/officeDocument/2006/relationships/hyperlink" Id="rId6"/>
    <Relationship TargetMode="External" Target="https://www.legis.iowa.gov/docs/ico/chapter/524.905.pdf" Type="http://schemas.openxmlformats.org/officeDocument/2006/relationships/hyperlink" Id="rId7"/>
    <Relationship TargetMode="External" Target="https://www.legis.iowa.gov/docs/ico/chapter/524.1101.pdf" Type="http://schemas.openxmlformats.org/officeDocument/2006/relationships/hyperlink" Id="rId8"/>
    <Relationship TargetMode="External" Target="https://www.legis.iowa.gov/docs/ico/chapter/524.904.pdf" Type="http://schemas.openxmlformats.org/officeDocument/2006/relationships/hyperlink" Id="rId9"/>
    <Relationship TargetMode="External" Target="https://www.legis.iowa.gov/docs/ico/chapter/537.3202.pdf" Type="http://schemas.openxmlformats.org/officeDocument/2006/relationships/hyperlink" Id="rId10"/>
    <Relationship TargetMode="External" Target="https://www.legis.iowa.gov/docs/ico/chapter/524.1105.pdf" Type="http://schemas.openxmlformats.org/officeDocument/2006/relationships/hyperlink" Id="rId11"/>
    <Relationship TargetMode="External" Target="https://www.legis.iowa.gov/docs/iac/rule/187.9.3.pdf" Type="http://schemas.openxmlformats.org/officeDocument/2006/relationships/hyperlink" Id="rId12"/>
    <Relationship TargetMode="External" Target="https://www.legis.iowa.gov/docs/ico/chapter/524.908.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