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 xml:space="preserve"> APPROVED RATING SERVICES </w:t>
      </w:r>
    </w:p>
    <w:p>
      <w:pPr>
        <w:spacing w:before="0" w:after="0"/>
        <w:ind w:left="120"/>
        <w:jc w:val="center"/>
      </w:pPr>
      <w:r>
        <w:rPr>
          <w:rFonts w:ascii="Times New Roman" w:hAnsi="Times New Roman"/>
          <w:b w:val="false"/>
          <w:i w:val="false"/>
          <w:color w:val="000000"/>
          <w:sz w:val="20"/>
        </w:rPr>
        <w:t>[Prior to 4/22/87, see Banking Department[140] Ch 8]</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187—8.1</w:t>
      </w:r>
      <w:r>
        <w:rPr>
          <w:rFonts w:ascii="Times New Roman" w:hAnsi="Times New Roman"/>
          <w:b/>
          <w:i w:val="false"/>
          <w:color w:val="000000"/>
          <w:sz w:val="22"/>
        </w:rPr>
        <w:t xml:space="preserve">(12B) </w:t>
      </w:r>
      <w:r>
        <w:rPr>
          <w:rFonts w:ascii="Times New Roman" w:hAnsi="Times New Roman"/>
          <w:b/>
          <w:i w:val="false"/>
          <w:color w:val="000000"/>
          <w:sz w:val="22"/>
        </w:rPr>
        <w:t xml:space="preserve">Approved rating services. </w:t>
      </w:r>
      <w:r>
        <w:rPr>
          <w:rFonts w:ascii="Times New Roman" w:hAnsi="Times New Roman"/>
          <w:b w:val="false"/>
          <w:i w:val="false"/>
          <w:color w:val="000000"/>
          <w:sz w:val="22"/>
        </w:rPr>
        <w:t xml:space="preserve">Rating services approved by the superintendent as provided by Iowa Code section </w:t>
      </w:r>
      <w:hyperlink r:id="rId5">
        <w:r>
          <w:rPr>
            <w:rStyle w:val="Hyperlink"/>
            <w:rFonts w:ascii="Times New Roman" w:hAnsi="Times New Roman"/>
            <w:b w:val="false"/>
            <w:i w:val="false"/>
            <w:color w:val="000000"/>
            <w:sz w:val="22"/>
          </w:rPr>
          <w:t>12B.10</w:t>
        </w:r>
      </w:hyperlink>
      <w:r>
        <w:rPr>
          <w:rFonts w:ascii="Times New Roman" w:hAnsi="Times New Roman"/>
          <w:b w:val="false"/>
          <w:i w:val="false"/>
          <w:color w:val="000000"/>
          <w:sz w:val="22"/>
        </w:rPr>
        <w:t xml:space="preserve"> for use by the treasurer of state and the treasurer of each political subdivision in determining qualifying commercial paper investments include all nationally recognized statistical rating organizations registered with the United States Securities and Exchange Commission.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
        <w:r>
          <w:rPr>
            <w:rStyle w:val="Hyperlink"/>
            <w:rFonts w:ascii="Times New Roman" w:hAnsi="Times New Roman"/>
            <w:b w:val="false"/>
            <w:i w:val="false"/>
            <w:color w:val="000000"/>
            <w:sz w:val="22"/>
          </w:rPr>
          <w:t>12B.10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0585D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10/31/84—published 11/21/84, effective 10/31/84]</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8/24/95, Notice 7/19/95—published 9/13/95, effective 10/18/95]</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3/10/06, Notice 2/1/06—published 3/29/06, effective 5/3/06]</w:t>
      </w:r>
    </w:p>
    <w:p>
      <w:pPr>
        <w:spacing w:before="0" w:after="0"/>
        <w:ind w:left="120"/>
        <w:jc w:val="center"/>
      </w:pPr>
      <w:r>
        <w:rPr>
          <w:rFonts w:ascii="Times New Roman" w:hAnsi="Times New Roman"/>
          <w:b w:val="false"/>
          <w:i w:val="false"/>
          <w:color w:val="000000"/>
          <w:sz w:val="21"/>
        </w:rPr>
        <w:t>[Filed ARC 4057C</w:t>
      </w:r>
      <w:r>
        <w:rPr>
          <w:rFonts w:ascii="Times New Roman" w:hAnsi="Times New Roman"/>
          <w:b w:val="false"/>
          <w:i w:val="false"/>
          <w:color w:val="000000"/>
          <w:sz w:val="21"/>
        </w:rPr>
        <w:t xml:space="preserve"> (Notice ARC 3952C,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6797C</w:t>
      </w:r>
      <w:r>
        <w:rPr>
          <w:rFonts w:ascii="Times New Roman" w:hAnsi="Times New Roman"/>
          <w:b w:val="false"/>
          <w:i w:val="false"/>
          <w:color w:val="000000"/>
          <w:sz w:val="21"/>
        </w:rPr>
        <w:t xml:space="preserve"> (Notice ARC 6604C,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0585D</w:t>
      </w:r>
      <w:r>
        <w:rPr>
          <w:rFonts w:ascii="Times New Roman" w:hAnsi="Times New Roman"/>
          <w:b w:val="false"/>
          <w:i w:val="false"/>
          <w:color w:val="000000"/>
          <w:sz w:val="21"/>
        </w:rPr>
        <w:t xml:space="preserve"> (Notice ARC 0360D, IAB 6/10/26)</w:t>
      </w:r>
      <w:r>
        <w:rPr>
          <w:rFonts w:ascii="Times New Roman" w:hAnsi="Times New Roman"/>
          <w:b w:val="false"/>
          <w:i w:val="false"/>
          <w:color w:val="000000"/>
          <w:sz w:val="21"/>
        </w:rPr>
        <w:t>, IAB 9/16/26, effective 10/21/26]</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B.10.pdf" Type="http://schemas.openxmlformats.org/officeDocument/2006/relationships/hyperlink" Id="rId5"/>
    <Relationship TargetMode="External" Target="https://www.legis.iowa.gov/docs/ico/chapter/12B.1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