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APPLICATION PROCEDURES</w:t>
      </w:r>
    </w:p>
    <w:p>
      <w:pPr>
        <w:spacing w:before="0" w:after="0"/>
        <w:ind w:left="120"/>
        <w:jc w:val="center"/>
      </w:pPr>
      <w:r>
        <w:rPr>
          <w:rFonts w:ascii="Times New Roman" w:hAnsi="Times New Roman"/>
          <w:b w:val="false"/>
          <w:i w:val="false"/>
          <w:color w:val="000000"/>
          <w:sz w:val="20"/>
        </w:rPr>
        <w:t>[Prior to 4/22/87, see Banking Department[140] Ch 2]</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187—2.1</w:t>
      </w:r>
      <w:r>
        <w:rPr>
          <w:rFonts w:ascii="Times New Roman" w:hAnsi="Times New Roman"/>
          <w:b/>
          <w:i w:val="false"/>
          <w:color w:val="000000"/>
          <w:sz w:val="22"/>
        </w:rPr>
        <w:t xml:space="preserve">(17A,524) </w:t>
      </w:r>
      <w:r>
        <w:rPr>
          <w:rFonts w:ascii="Times New Roman" w:hAnsi="Times New Roman"/>
          <w:b/>
          <w:i w:val="false"/>
          <w:color w:val="000000"/>
          <w:sz w:val="22"/>
        </w:rPr>
        <w:t xml:space="preserve">Organization of a state-chartered bank. </w:t>
      </w:r>
      <w:r>
        <w:rPr>
          <w:rFonts w:ascii="Times New Roman" w:hAnsi="Times New Roman"/>
          <w:b w:val="false"/>
          <w:i w:val="false"/>
          <w:color w:val="000000"/>
          <w:sz w:val="22"/>
        </w:rPr>
        <w:t>Persons desiring to organize a state-chartered bank should first meet with the superintendent to discuss the proposal.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524.303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187—2.2</w:t>
      </w:r>
      <w:r>
        <w:rPr>
          <w:rFonts w:ascii="Times New Roman" w:hAnsi="Times New Roman"/>
          <w:b/>
          <w:i w:val="false"/>
          <w:color w:val="000000"/>
          <w:sz w:val="22"/>
        </w:rPr>
        <w:t xml:space="preserve">(17A,524) </w:t>
      </w:r>
      <w:r>
        <w:rPr>
          <w:rFonts w:ascii="Times New Roman" w:hAnsi="Times New Roman"/>
          <w:b/>
          <w:i w:val="false"/>
          <w:color w:val="000000"/>
          <w:sz w:val="22"/>
        </w:rPr>
        <w:t xml:space="preserve">Conversion into state bank.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national bank, federal savings association, out-of-state bank, or state or federally chartered credit union desiring to become a state bank should first meet with the superintendent to discuss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business as state bank. </w:t>
      </w:r>
      <w:r>
        <w:rPr>
          <w:rFonts w:ascii="Times New Roman" w:hAnsi="Times New Roman"/>
          <w:b w:val="false"/>
          <w:i w:val="false"/>
          <w:color w:val="000000"/>
          <w:sz w:val="22"/>
        </w:rPr>
        <w:t>The superintendent’s “Authorization To Do Business” as a state bank will be issued to be effective on the date of conversion.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Resulting state bank. </w:t>
      </w:r>
      <w:r>
        <w:rPr>
          <w:rFonts w:ascii="Times New Roman" w:hAnsi="Times New Roman"/>
          <w:b w:val="false"/>
          <w:i w:val="false"/>
          <w:color w:val="000000"/>
          <w:sz w:val="22"/>
        </w:rPr>
        <w:t>The resulting state bank shall submit the oath of directors, list of shareholders, and certificate of elections and appointments to the superintendent on forms to be provided by the superintendent. The oath of directors is to be signed prior to the first meeting of the board of directors following the effective date of the conversion. The list of shareholders is to be completed as of the effective date of conversion.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524.1410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524.1413</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524.1415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187—2.3</w:t>
      </w:r>
      <w:r>
        <w:rPr>
          <w:rFonts w:ascii="Times New Roman" w:hAnsi="Times New Roman"/>
          <w:b/>
          <w:i w:val="false"/>
          <w:color w:val="000000"/>
          <w:sz w:val="22"/>
        </w:rPr>
        <w:t xml:space="preserve">(17A,524) </w:t>
      </w:r>
      <w:r>
        <w:rPr>
          <w:rFonts w:ascii="Times New Roman" w:hAnsi="Times New Roman"/>
          <w:b/>
          <w:i w:val="false"/>
          <w:color w:val="000000"/>
          <w:sz w:val="22"/>
        </w:rPr>
        <w:t xml:space="preserve">Merger or purchase and assumption.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“merger” means a merger in which the resulting bank is a state bank. “Purchase and assumption” means a transaction in which a state bank purchases the assets and assumes the liabilities of another bank or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State bank as seller. </w:t>
      </w:r>
      <w:r>
        <w:rPr>
          <w:rFonts w:ascii="Times New Roman" w:hAnsi="Times New Roman"/>
          <w:b w:val="false"/>
          <w:i w:val="false"/>
          <w:color w:val="000000"/>
          <w:sz w:val="22"/>
        </w:rPr>
        <w:t>In the case of a purchase and assumption, if the bank being acquired is a state bank, appropriate forms and instructions for the voluntary liquidation of the bank may be obtained from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investigation. </w:t>
      </w:r>
      <w:r>
        <w:rPr>
          <w:rFonts w:ascii="Times New Roman" w:hAnsi="Times New Roman"/>
          <w:b w:val="false"/>
          <w:i w:val="false"/>
          <w:color w:val="000000"/>
          <w:sz w:val="22"/>
        </w:rPr>
        <w:t>The superintendent may conduct an examination or investigation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90 days after the purchase and assumption application has been accepted for processing and within 180 days after the merger application has been accepted for processing.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524.1401</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524.1405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187—2.4</w:t>
      </w:r>
      <w:r>
        <w:rPr>
          <w:rFonts w:ascii="Times New Roman" w:hAnsi="Times New Roman"/>
          <w:b/>
          <w:i w:val="false"/>
          <w:color w:val="000000"/>
          <w:sz w:val="22"/>
        </w:rPr>
        <w:t xml:space="preserve">(17A,524) </w:t>
      </w:r>
      <w:r>
        <w:rPr>
          <w:rFonts w:ascii="Times New Roman" w:hAnsi="Times New Roman"/>
          <w:b/>
          <w:i w:val="false"/>
          <w:color w:val="000000"/>
          <w:sz w:val="22"/>
        </w:rPr>
        <w:t xml:space="preserve">Establishment of a bank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state bank desiring to establish and operate a bank office shall submit to the superintendent an “Application to Establish a Bank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In determining whether to approve or deny a bank office application for other than a mobile office, a bank-owned courier service, or a convenience office, the superintendent will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convenience and needs of the public and existing customers of the applicant bank will be served by the proposed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capital structure of the applicant bank is adequate in relation to the costs and anticipated increased business, if any, occasioned by the proposed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history of operation and management of the applicant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other factors as the superintendent may determine are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120 days after the application has been accepted for processing. If the application is approved, the superintendent shall issue a bank office certificate for the establishment and operation of the bank office to be effective on a specific date and at a designated location.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524.312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524.1201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187—2.5</w:t>
      </w:r>
      <w:r>
        <w:rPr>
          <w:rFonts w:ascii="Times New Roman" w:hAnsi="Times New Roman"/>
          <w:b/>
          <w:i w:val="false"/>
          <w:color w:val="000000"/>
          <w:sz w:val="22"/>
        </w:rPr>
        <w:t xml:space="preserve">(17A,524) </w:t>
      </w:r>
      <w:r>
        <w:rPr>
          <w:rFonts w:ascii="Times New Roman" w:hAnsi="Times New Roman"/>
          <w:b/>
          <w:i w:val="false"/>
          <w:color w:val="000000"/>
          <w:sz w:val="22"/>
        </w:rPr>
        <w:t xml:space="preserve">Change of location of principal place of business or bank office. </w:t>
      </w:r>
      <w:r>
        <w:rPr>
          <w:rFonts w:ascii="Times New Roman" w:hAnsi="Times New Roman"/>
          <w:b w:val="false"/>
          <w:i w:val="false"/>
          <w:color w:val="000000"/>
          <w:sz w:val="22"/>
        </w:rPr>
        <w:t>A state bank desiring to relocate its principal place of business or a bank office shall submit to the superintendent an “Application to Relocate the Principal Place of Business” or “Application to Relocate a Bank Office.”</w:t>
      </w:r>
    </w:p>
    <w:p>
      <w:pPr>
        <w:spacing w:before="0" w:after="0"/>
        <w:ind w:left="120"/>
        <w:jc w:val="both"/>
      </w:pPr>
      <w:r>
        <w:rPr>
          <w:rFonts w:ascii="Times New Roman" w:hAnsi="Times New Roman"/>
          <w:b w:val="false"/>
          <w:i w:val="false"/>
          <w:color w:val="000000"/>
          <w:sz w:val="22"/>
        </w:rPr>
        <w:t>This rule is intended to implement Iowa Code section </w:t>
      </w:r>
      <w:hyperlink r:id="rId13">
        <w:r>
          <w:rPr>
            <w:rStyle w:val="Hyperlink"/>
            <w:rFonts w:ascii="Times New Roman" w:hAnsi="Times New Roman"/>
            <w:b w:val="false"/>
            <w:i w:val="false"/>
            <w:color w:val="000000"/>
            <w:sz w:val="22"/>
          </w:rPr>
          <w:t>524.312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187—2.6</w:t>
      </w:r>
      <w:r>
        <w:rPr>
          <w:rFonts w:ascii="Times New Roman" w:hAnsi="Times New Roman"/>
          <w:b/>
          <w:i w:val="false"/>
          <w:color w:val="000000"/>
          <w:sz w:val="22"/>
        </w:rPr>
        <w:t xml:space="preserve">(17A,524) </w:t>
      </w:r>
      <w:r>
        <w:rPr>
          <w:rFonts w:ascii="Times New Roman" w:hAnsi="Times New Roman"/>
          <w:b/>
          <w:i w:val="false"/>
          <w:color w:val="000000"/>
          <w:sz w:val="22"/>
        </w:rPr>
        <w:t xml:space="preserve">Change of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by any person to purchase or otherwise acquire, directly or indirectly, outstanding shares of a state bank that would result in control or a change in control shall be submitted in the format requested by the superintendent and, at a minimum,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Copy of the agreement between the purchaser and seller for the sale of stock that results in the buyer acquiring a majority interest in the state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Terms of any financing, including any bank stock loan, including the amount to be borrowed, rate of interest, number of years the loan is to run, collateral pledged to secure the indebtedness, and any other pertinent information relating to such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statement of the purchaser and a résumé related to the purchaser’s past experience and affiliations.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 forma statement of the purchaser’s income and expenses during the term of any bank stock loan and a statement from the purchaser indicating which assets will be converted to cash or pledged as security to provide the initial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Projections of statement of condition of the state bank to be purchased during the term of any bank stock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Projections of income and expenses of the state bank to be purchased during the term of any bank stock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plans that the purchaser may have that would represent major changes in the present staff or policies of the state bank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requested by the superintendent, an affidavit signed by the purchaser stating that the majority interest in the state bank is not being acquired for the benefit of another person or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90 days after the application has been accepted for processing. Upon receipt of a certificate of approval, the applicant may proceed to conclude the purchase transaction, subject to such terms and conditions as the superintendent may impose.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524.544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187—2.7</w:t>
      </w:r>
      <w:r>
        <w:rPr>
          <w:rFonts w:ascii="Times New Roman" w:hAnsi="Times New Roman"/>
          <w:b/>
          <w:i w:val="false"/>
          <w:color w:val="000000"/>
          <w:sz w:val="22"/>
        </w:rPr>
        <w:t xml:space="preserve">(17A,524) </w:t>
      </w:r>
      <w:r>
        <w:rPr>
          <w:rFonts w:ascii="Times New Roman" w:hAnsi="Times New Roman"/>
          <w:b/>
          <w:i w:val="false"/>
          <w:color w:val="000000"/>
          <w:sz w:val="22"/>
        </w:rPr>
        <w:t xml:space="preserve">Amendment or restatement of articles of incorporation.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State banks desiring to effect a reverse stock split or similar change in capital structure by such renewal, amendment, or restatement should contact the superintendent to discuss the proposal prior to its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Upon filing such articles, the secretary of state will return the original to the state bank and will also issue a certificate to the state bank indicating the date the filing was effective.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524.1505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524.1508</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524.1509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187—2.8</w:t>
      </w:r>
      <w:r>
        <w:rPr>
          <w:rFonts w:ascii="Times New Roman" w:hAnsi="Times New Roman"/>
          <w:b/>
          <w:i w:val="false"/>
          <w:color w:val="000000"/>
          <w:sz w:val="22"/>
        </w:rPr>
        <w:t xml:space="preserve">(17A,524) </w:t>
      </w:r>
      <w:r>
        <w:rPr>
          <w:rFonts w:ascii="Times New Roman" w:hAnsi="Times New Roman"/>
          <w:b/>
          <w:i w:val="false"/>
          <w:color w:val="000000"/>
          <w:sz w:val="22"/>
        </w:rPr>
        <w:t xml:space="preserve">Supplemental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If the superintendent deems a public hearing necessary with respect to any application, the superintendent may establish appropriate procedures to provide a method by which all persons interested in the subject matter of such applications may present their views. Interested persons may also present their views in a more informal manner when deemed appropriate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color w:val="000000"/>
          <w:sz w:val="22"/>
        </w:rPr>
        <w:t xml:space="preserve">Public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file in each case consists of the application with supporting data and supplementary information, with the exception of material deemed by the superintendent to be confidential. In addition, the public file shall contain all data and information submitted by interested persons in favor of or in opposition to such application, excluding any material deemed by the superintendent to be confidential. The superintendent or the superintendent’s designee shall not deem information confidential for purposes of the two immediately preceding sentences unless the person submitting the information requests that such information be deemed confidential. All factual information contained in any internal investigation report made by a bank examiner shall also be made a part of the public file unless deemed confidential by the superintendent. The person submitting the application shall not request that the entire application be deemed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file is available for inspection in the office of the superintendent upon request pursuant to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187—Chapter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color w:val="000000"/>
          <w:sz w:val="22"/>
        </w:rPr>
        <w:t xml:space="preserve">General application procedures. </w:t>
      </w:r>
      <w:r>
        <w:rPr>
          <w:rFonts w:ascii="Times New Roman" w:hAnsi="Times New Roman"/>
          <w:b w:val="false"/>
          <w:i w:val="false"/>
          <w:color w:val="000000"/>
          <w:sz w:val="22"/>
        </w:rPr>
        <w:t>Unless otherwise provided by statute or rule, the following general provisions cover all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forms are available on the division’s website 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conduct an investigation in association with an application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decision by the superintendent shall be conveyed in writing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the superintendent will deliver a certificate of approval or other appropriate form of authorization to the applicant.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524.305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524.312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524.1201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524.1303</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524.1403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187—2.9</w:t>
      </w:r>
      <w:r>
        <w:rPr>
          <w:rFonts w:ascii="Times New Roman" w:hAnsi="Times New Roman"/>
          <w:b/>
          <w:i w:val="false"/>
          <w:color w:val="000000"/>
          <w:sz w:val="22"/>
        </w:rPr>
        <w:t xml:space="preserve">(524) </w:t>
      </w:r>
      <w:r>
        <w:rPr>
          <w:rFonts w:ascii="Times New Roman" w:hAnsi="Times New Roman"/>
          <w:b/>
          <w:i w:val="false"/>
          <w:color w:val="000000"/>
          <w:sz w:val="22"/>
        </w:rPr>
        <w:t xml:space="preserve">Investment in a bank service corporation or other subsidiary.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by a state bank to invest in a bank service corporation or other subsidiary for purposes of engaging in an authorized activity shall be in letter form and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proposed authorized activity of the bank service corporation or other subsidiary.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location(s) where the bank service corporation or other subsidiary proposes to conduct its 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that the bank service corporation or other subsidiary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adequately capitalized in relation to the risks associated with the proposed 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sufficient managerial resources to perform the proposed 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 all licenses and approvals from other regulatory agencies necessary to perform the proposed 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 a separate and adequate accounting system and other corporate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Conduct its authorized activity pursuant to independent policies and procedures designed to inform customers and prospective customers of the bank service corporation or other subsidiary that it is a separate organization from the state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legal opinion that the proposed authorized activity of the bank service corporation or other subsidiary is permissible under state and federal laws and regulations if requested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that the state bank proposes to initially invest in the bank service corporation or other subsidiary.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resolution adopted by the state bank’s board of directors authorizing the investment in the bank service corporation or other subsidiary.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color w:val="000000"/>
          <w:sz w:val="22"/>
        </w:rPr>
        <w:t xml:space="preserve">Investment limitation. </w:t>
      </w:r>
      <w:r>
        <w:rPr>
          <w:rFonts w:ascii="Times New Roman" w:hAnsi="Times New Roman"/>
          <w:b w:val="false"/>
          <w:i w:val="false"/>
          <w:color w:val="000000"/>
          <w:sz w:val="22"/>
        </w:rPr>
        <w:t xml:space="preserve">Unless state or federal statutes impose specific limitations relating to investments in the shares of a corporation by a state bank, a state bank’s maximum permissible investment in an individual bank service corporation or other subsidiary is 15 percent of its aggregate capital as defined in Iowa Code section </w:t>
      </w:r>
      <w:hyperlink r:id="rId26">
        <w:r>
          <w:rPr>
            <w:rStyle w:val="Hyperlink"/>
            <w:rFonts w:ascii="Times New Roman" w:hAnsi="Times New Roman"/>
            <w:b w:val="false"/>
            <w:i w:val="false"/>
            <w:color w:val="000000"/>
            <w:sz w:val="22"/>
          </w:rPr>
          <w:t>524.103</w:t>
        </w:r>
      </w:hyperlink>
      <w:r>
        <w:rPr>
          <w:rFonts w:ascii="Times New Roman" w:hAnsi="Times New Roman"/>
          <w:b w:val="false"/>
          <w:i w:val="false"/>
          <w:color w:val="000000"/>
          <w:sz w:val="22"/>
        </w:rPr>
        <w:t xml:space="preserve"> and a state bank’s maximum permissible investment in all bank service corporations or subsidiaries is 5 percent of its total assets. At the superintendent’s discretion, a higher investment limitation may be established for an investment by a state bank in an operations subsidiary as defined in Iowa Code section </w:t>
      </w:r>
      <w:hyperlink r:id="rId27">
        <w:r>
          <w:rPr>
            <w:rStyle w:val="Hyperlink"/>
            <w:rFonts w:ascii="Times New Roman" w:hAnsi="Times New Roman"/>
            <w:b w:val="false"/>
            <w:i w:val="false"/>
            <w:color w:val="000000"/>
            <w:sz w:val="22"/>
          </w:rPr>
          <w:t>524.103</w:t>
        </w:r>
      </w:hyperlink>
      <w:r>
        <w:rPr>
          <w:rFonts w:ascii="Times New Roman" w:hAnsi="Times New Roman"/>
          <w:b w:val="false"/>
          <w:i w:val="false"/>
          <w:color w:val="000000"/>
          <w:sz w:val="22"/>
        </w:rPr>
        <w:t>. For purposes of this rule, “invest” or “investment” includes any advance of funds to a bank service corporation or other subsidiary, whether by the purchase of stock, the making of a loan,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60 days after the application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The superintendent may revoke a previously granted approval to invest in a bank service corporation or another subsidiary and order divestiture of the shares, pursuant to the contested case provisions of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of the state bank has significantly deteriorated;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superintendent determines the authorized activity is being conducted unlawfully or in an unsafe or unsound manner;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relevant factors exist that the superintendent may determine are grounds to revoke the authorized activity.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524.802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187—2.10</w:t>
      </w:r>
      <w:r>
        <w:rPr>
          <w:rFonts w:ascii="Times New Roman" w:hAnsi="Times New Roman"/>
          <w:b/>
          <w:i w:val="false"/>
          <w:color w:val="000000"/>
          <w:sz w:val="22"/>
        </w:rPr>
        <w:t xml:space="preserve">(524) </w:t>
      </w:r>
      <w:r>
        <w:rPr>
          <w:rFonts w:ascii="Times New Roman" w:hAnsi="Times New Roman"/>
          <w:b/>
          <w:i w:val="false"/>
          <w:color w:val="000000"/>
          <w:sz w:val="22"/>
        </w:rPr>
        <w:t xml:space="preserve">Securities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Iowa law authorizes state banks to engage in any aspect of the securities business. Recommending and selling interests in mutual funds, annuities, and other nondeposit investment products on bank premises may be conducted directly by a state bank, through a subsidiary or an affiliate of a state bank, or through an arrangement with a third-party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Board responsibilities. </w:t>
      </w:r>
      <w:r>
        <w:rPr>
          <w:rFonts w:ascii="Times New Roman" w:hAnsi="Times New Roman"/>
          <w:b w:val="false"/>
          <w:i w:val="false"/>
          <w:color w:val="000000"/>
          <w:sz w:val="22"/>
        </w:rPr>
        <w:t>The board of directors of a state bank shall evaluate the risks associated with the securities activities proposed and the method by which the securities activities will be conducted on its premises. The board of directors shall be responsible for ensuring that any securities activities conducted on its premises will comply with all applicable state and federal laws and regulations as well as any policy statements issued that relate to securities activities. Specifically, if a state bank develops and implements a particular program where nondeposit investment products are recommended and sold to retail customers, that program shall ensure that customers are clearly and fully informed of the nature of and risks associated with those types of products. If an affiliate, a subsidiary, or a third-party vendor is used to recommend and sell nondeposit investment products, all signs, advertisements and other promotional material should clearly identify the affiliate, subsidiary, or third-party vendor as the seller and should not suggest by use of a trade name that the state bank is the seller. The board of directors shall be responsible for complying with the joint federal Interagency Statement on Retail Sales of Nondeposit Investment Products or any substitution therefor or revision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by a state bank to engage in any securities activities shall be in letter form and contain, at a minimum, the following commitments: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proposed securities activities will be conducted either directly by the state bank, through a subsidiary or an affiliate of the state bank, or through an arrangement with a third-party vendor. In specific cases, it may be necessary for the applicant to provide a legal opinion stating that the proposed activities are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state bank’s board of directors has evaluated the risks associated with the proposed securities activities and has adopted a written statement that addresses these risks and the procedures to be used to ensure compliance with all applicable laws, regulations and policy statements. The scope and level of detail of the written statement should reflect the state bank’s level of involvement in the securities activities. If securities activities are to be conducted on bank premises by an affiliate, a subsidiary, or a third-party vendor, the written statement should also address the scope of those activities, as well as the procedures for monitoring compliance by the affiliate, subsidiary, or third-party vendor with all applicable laws, regulations, and policy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if securities activities are to be conducted through an affiliate, a subsidiary, or a third-party vendor, the board of directors has performed an appropriate review of the affiliate, subsidiary, or third-party vendor. A copy of the written agreement between the parties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location(s) on bank premises where the proposed securities activities will be conducted will be physically distinct and separate from the area where deposits are taken. Proper signs or other means must be used to distinguish the area where the sale of retail nondeposit investments products will be conducted from the area where insured deposits are normally taken. If securities activities are to be conducted on bank premises by an affiliate, a subsidiary, or a third-party vendor, all signs or other means used to identify this area shall provide to the retail customer a clear and accurate representation of the entity conducting the securities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clear and concise oral and written disclosures will be provided to retail customers. A copy of the proposed written disclosures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the state bank, its subsidiary or affiliate, or a third-party vendor will complete background checks on all personnel authorized to recommend and sell nondeposit investment products and that all such personnel will be properly trained and appropriately licensed prior to commencing any securities activities and thereafter while conducting securities activities on the premises of the state bank.</w:t>
      </w:r>
    </w:p>
    <w:p>
      <w:pPr>
        <w:spacing w:before="0" w:after="0"/>
        <w:ind w:left="120"/>
        <w:jc w:val="both"/>
      </w:pPr>
      <w:r>
        <w:rPr>
          <w:rFonts w:ascii="Times New Roman" w:hAnsi="Times New Roman"/>
          <w:b w:val="false"/>
          <w:i w:val="false"/>
          <w:color w:val="000000"/>
          <w:sz w:val="22"/>
        </w:rPr>
        <w:t>Notwithstanding the application requirements set forth herein, if the securities activity being conducted is limited to discount brokerage or referral services, then the state bank only needs to notify the superintendent that it intends to engage in the limited securities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The superintendent may revoke a previously granted approval to conduct securities activities on the premises of the state bank, pursuant to the contested case provisions of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of the state bank has significantly deteriorated.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superintendent determines the securities activities are being conducted unlawfully or in an unsafe or unsound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relevant factors exist that the superintendent may determine are grounds for a revocation of the securities activities.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524.825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187—2.11</w:t>
      </w:r>
      <w:r>
        <w:rPr>
          <w:rFonts w:ascii="Times New Roman" w:hAnsi="Times New Roman"/>
          <w:b/>
          <w:i w:val="false"/>
          <w:color w:val="000000"/>
          <w:sz w:val="22"/>
        </w:rPr>
        <w:t xml:space="preserve">(524) </w:t>
      </w:r>
      <w:r>
        <w:rPr>
          <w:rFonts w:ascii="Times New Roman" w:hAnsi="Times New Roman"/>
          <w:b/>
          <w:i w:val="false"/>
          <w:color w:val="000000"/>
          <w:sz w:val="22"/>
        </w:rPr>
        <w:t xml:space="preserve">Futures, forward, and standby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Futures contracts are defined as standardized contracts traded on and guaranteed by organized exchanges to purchase or sell a specified security or a bank certificate of deposit on a future date at a specified price. Forward contracts are defined as over-the-counter contracts for forward placement or delayed delivery of securities in which one party agrees to purchase and another to sell a specified security at a specified price for future delivery. Contracts specifying settlement in excess of 30 days following the trade date are deemed to be forward contracts. Standby contracts are defined as optional forward contracts. For example, the buyer of a standby contract (put option) pays a fee for the right or option to sell securities to the other party at a stated price at a future time. The seller of a standby contract receives the fee and must stand ready to buy the securities at the other party’s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Futures contracts, forward contracts, and standby contracts may be used by state banks to reduce their existing interest rate risk exposure resulting from their overall investment activities and as a general hedge against interest rate exposure associated with undesired mismatches in interest-sensitive assets and liabilities. At no time shall futures, forward, and standby contracts be used to speculate on future interest rate movements.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banks may, without the prior approval of the superintendent, purchase shares in permissible investment companies, up to a maximum of 15 percent of aggregate capital, which use futures contracts, forward contracts, and standby contracts, as well as repurchase agreements and securities lending arrangements as a part of their portfolio management strategies. It remains the responsibility of the board of directors making these purchases to ensure that a particular investment company is a proper holding for the state bank’s investment portfolio.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by a state bank to engage in futures contracts, forward contracts, and standby contracts shall be in letter form and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type(s) of contracts the state bank proposes to purchase and sell.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board of directors’ resolution authorizing the specific type(s) of contracts proposed to be purchased and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policy adopted by the state bank’s board of directors that shall include specific policy objectives that outline permissible contract strategies and their relationship to overall investment activities and asset-liability management; the names, responsibilities, and authority limits of the personnel authorized to engage in futures, forward, and standby contracts; limitations applicable to futures, forward, and standby contract positions; the personnel to be used to review at least monthly the state bank’s contract positions to ascertain compliance with such limits; the exchanges and firms through which authorized personnel may conduct futures, forward, and standby contracts; and the dollar limit on transactions with each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representation that the state bank has sufficient managerial resources to engage in futures, forward, and standby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The superintendent may revoke the approval of the state bank to engage in futures, forward and standby contracts, pursuant to the contested case provisions of Iowa Code chapter </w:t>
      </w:r>
      <w:hyperlink r:id="rId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of the state bank has significantly deteriorated.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superintendent determines the futures, forward, or standby contract activities are being conducted unlawfully or in an unsafe or unsound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relevant factors exist that the superintendent may determine are grounds for a revocation of the activities.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524.901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187—2.12</w:t>
      </w:r>
      <w:r>
        <w:rPr>
          <w:rFonts w:ascii="Times New Roman" w:hAnsi="Times New Roman"/>
          <w:b/>
          <w:i w:val="false"/>
          <w:color w:val="000000"/>
          <w:sz w:val="22"/>
        </w:rPr>
        <w:t xml:space="preserve">(17A,524) </w:t>
      </w:r>
      <w:r>
        <w:rPr>
          <w:rFonts w:ascii="Times New Roman" w:hAnsi="Times New Roman"/>
          <w:b/>
          <w:i w:val="false"/>
          <w:color w:val="000000"/>
          <w:sz w:val="22"/>
        </w:rPr>
        <w:t xml:space="preserve">Mobile offices, courier services, and convenience offices.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“Bank-owned courier service”</w:t>
      </w:r>
      <w:r>
        <w:rPr>
          <w:rFonts w:ascii="Times New Roman" w:hAnsi="Times New Roman"/>
          <w:b w:val="false"/>
          <w:i w:val="false"/>
          <w:color w:val="000000"/>
          <w:sz w:val="22"/>
        </w:rPr>
        <w:t> </w:t>
      </w:r>
      <w:r>
        <w:rPr>
          <w:rFonts w:ascii="Times New Roman" w:hAnsi="Times New Roman"/>
          <w:b w:val="false"/>
          <w:i w:val="false"/>
          <w:color w:val="000000"/>
          <w:sz w:val="22"/>
        </w:rPr>
        <w:t>means a service that has the sole purpose of serving specific customers with pick-up or delivery services for banking activities such as deposits, withdrawals, and loan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“Convenience office”</w:t>
      </w:r>
      <w:r>
        <w:rPr>
          <w:rFonts w:ascii="Times New Roman" w:hAnsi="Times New Roman"/>
          <w:b w:val="false"/>
          <w:i w:val="false"/>
          <w:color w:val="000000"/>
          <w:sz w:val="22"/>
        </w:rPr>
        <w:t> </w:t>
      </w:r>
      <w:r>
        <w:rPr>
          <w:rFonts w:ascii="Times New Roman" w:hAnsi="Times New Roman"/>
          <w:b w:val="false"/>
          <w:i w:val="false"/>
          <w:color w:val="000000"/>
          <w:sz w:val="22"/>
        </w:rPr>
        <w:t>means a bank office at a fixed site that is open only at certain times or dates, such as at a nursing home, college orientation, or fair. The sole purpose of a convenience office is to serve the convenience of the bank’s customers at specified special events or who may have limited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“Mobile office”</w:t>
      </w:r>
      <w:r>
        <w:rPr>
          <w:rFonts w:ascii="Times New Roman" w:hAnsi="Times New Roman"/>
          <w:b w:val="false"/>
          <w:i w:val="false"/>
          <w:color w:val="000000"/>
          <w:sz w:val="22"/>
        </w:rPr>
        <w:t> </w:t>
      </w:r>
      <w:r>
        <w:rPr>
          <w:rFonts w:ascii="Times New Roman" w:hAnsi="Times New Roman"/>
          <w:b w:val="false"/>
          <w:i w:val="false"/>
          <w:color w:val="000000"/>
          <w:sz w:val="22"/>
        </w:rPr>
        <w:t>means a bank office that does not have a permanent site and functions out of a mobile banking unit that stops at predetermined locations to conduct banking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 state bank may provide courier services to its customers by using a third-party provider operated under the provider’s name or using the state bank’s employees operating in the state bank’s own name. Customer deposits picked up by a courier service become deposits of the state bank at the time the deposits are picked up by the courier service. A state bank that establishes and operates courier services in its own name using its own employees must establish the vehicle it uses to provide courier services as a bank office in accordance with the provisions of this rule.</w:t>
      </w:r>
    </w:p>
    <w:p>
      <w:pPr>
        <w:spacing w:before="0" w:after="0"/>
        <w:ind w:left="120"/>
        <w:jc w:val="both"/>
      </w:pPr>
      <w:r>
        <w:rPr>
          <w:rFonts w:ascii="Times New Roman" w:hAnsi="Times New Roman"/>
          <w:b w:val="false"/>
          <w:i w:val="false"/>
          <w:color w:val="000000"/>
          <w:sz w:val="22"/>
        </w:rPr>
        <w:t>A state bank that uses a third party to provide courier services to its customers may pay the third party directly for those services and may charge its customers for third-party courier services as the state bank deems appropriate. Superintendent approval is not required for a state bank to provide courier services to its customers by using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The board of directors of a state bank that operates a mobile office, bank-owned courier service, or convenience office shall adopt a policy governing operation of the mobile office, bank-owned courier service, or convenience office. The policy shall be appropriate for the nature and scope of the state bank’s use of the mobile office, bank-owned courier service, or convenience office and shall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Address the steps the bank will take to protect the security of the office, its customers, employees, its customers’ financial information and deposits. The security plan may include implementation of customer and employee security systems such as security cameras, external lighting, and internal or attached protection zones.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the bank to maintain deposit insurance coverage for the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the bank to main adequate insurance coverage covering the bank in case of robbery, accident, other loss of items, delay in the delivery of items to other destinations, and other liabilities associated with operating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 types of activities the bank will conduct from the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 the bank to maintain a daily log of operations including descriptions of the time and locations of each stop made by the mobile office or bank-owned courier service, the locations and the hours a convenience office was operated, and the names of the bank personnel working at the mobile office, bank-owned courier service, or convenience office during those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Address what, if any, signage the state bank will place on the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mobile offices and bank-owned courier services, address how the state bank will determine the locations at which it will provide services and the times it will be at those locations, including how the state bank will ensure that the mobile office, bank-owned courier service, or convenience office is located in a safe location and has the necessary permission of the owner of the property where the mobile office, bank-owned courier service, or convenience office is located to operate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Necessary federal approval. </w:t>
      </w:r>
      <w:r>
        <w:rPr>
          <w:rFonts w:ascii="Times New Roman" w:hAnsi="Times New Roman"/>
          <w:b w:val="false"/>
          <w:i w:val="false"/>
          <w:color w:val="000000"/>
          <w:sz w:val="22"/>
        </w:rPr>
        <w:t>If the state bank must receive approval from any federal agency, such as the Federal Deposit Insurance Corporation (FDIC), prior to operating a mobile office, bank-owned courier service, or convenience office, such federal approval will be a condition of approval by the superintendent of banking of the application to operate a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color w:val="000000"/>
          <w:sz w:val="22"/>
        </w:rPr>
        <w:t xml:space="preserve">Interstate banking. </w:t>
      </w:r>
      <w:r>
        <w:rPr>
          <w:rFonts w:ascii="Times New Roman" w:hAnsi="Times New Roman"/>
          <w:b w:val="false"/>
          <w:i w:val="false"/>
          <w:color w:val="000000"/>
          <w:sz w:val="22"/>
        </w:rPr>
        <w:t>A mobile office or bank-owned courier service shall not operate in another state unless the state bank has obtained any required permissions from the other state and the appropriate federal regulator.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524.213</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524.1201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187—2.13</w:t>
      </w:r>
      <w:r>
        <w:rPr>
          <w:rFonts w:ascii="Times New Roman" w:hAnsi="Times New Roman"/>
          <w:b/>
          <w:i w:val="false"/>
          <w:color w:val="000000"/>
          <w:sz w:val="22"/>
        </w:rPr>
        <w:t xml:space="preserve">(17A,524) </w:t>
      </w:r>
      <w:r>
        <w:rPr>
          <w:rFonts w:ascii="Times New Roman" w:hAnsi="Times New Roman"/>
          <w:b/>
          <w:i w:val="false"/>
          <w:color w:val="000000"/>
          <w:sz w:val="22"/>
        </w:rPr>
        <w:t xml:space="preserve">Required fees. </w:t>
      </w:r>
      <w:r>
        <w:rPr>
          <w:rFonts w:ascii="Times New Roman" w:hAnsi="Times New Roman"/>
          <w:b w:val="false"/>
          <w:i w:val="false"/>
          <w:color w:val="000000"/>
          <w:sz w:val="22"/>
        </w:rPr>
        <w:t>The following is a schedule of the fees for corporate applications filed by state banks adopted by the superintendent:</w:t>
      </w:r>
    </w:p>
    <w:tbl>
      <w:tblPr>
        <w:tblW w:w="0" w:type="auto"/>
        <w:tblCellSpacing w:w="0" w:type="auto"/>
        <w:tblBorders>
          <w:top w:val="none"/>
          <w:left w:val="none"/>
          <w:bottom w:val="none"/>
          <w:right w:val="none"/>
          <w:insideH w:val="none"/>
          <w:insideV w:val="none"/>
        </w:tblBorders>
        <w:tblLayout w:type="fixed"/>
      </w:tblPr>
      <w:tblGrid>
        <w:gridCol w:w="6720"/>
        <w:gridCol w:w="3456"/>
      </w:tblGrid>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Conversion to a state bank:</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 + examination fee</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New (de novo) state bank:</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w:t>
            </w:r>
          </w:p>
        </w:tc>
      </w:tr>
      <w:tr>
        <w:trPr>
          <w:trHeight w:val="180" w:hRule="atLeast"/>
        </w:trPr>
        <w:tc>
          <w:tcPr>
            <w:tcW w:w="67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Certificate of Good Standing or Proof of Official Records:</w:t>
            </w:r>
          </w:p>
        </w:tc>
        <w:tc>
          <w:tcPr>
            <w:tcW w:w="34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524.213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524.303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524.305</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524.1410</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524.1413</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524.1415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emergency 6/10/77—published 6/29/77, effective 6/10/77]</w:t>
      </w:r>
    </w:p>
    <w:p>
      <w:pPr>
        <w:spacing w:before="0" w:after="0"/>
        <w:ind w:left="120"/>
        <w:jc w:val="center"/>
      </w:pPr>
      <w:r>
        <w:rPr>
          <w:rFonts w:ascii="Times New Roman" w:hAnsi="Times New Roman"/>
          <w:b w:val="false"/>
          <w:i w:val="false"/>
          <w:color w:val="000000"/>
          <w:sz w:val="21"/>
        </w:rPr>
        <w:t>[Filed 9/1/77, Notice 6/29/77—published 9/21/77, effective 10/26/77 and 11/1/77]</w:t>
      </w:r>
    </w:p>
    <w:p>
      <w:pPr>
        <w:spacing w:before="0" w:after="0"/>
        <w:ind w:left="120"/>
        <w:jc w:val="center"/>
      </w:pPr>
      <w:r>
        <w:rPr>
          <w:rFonts w:ascii="Times New Roman" w:hAnsi="Times New Roman"/>
          <w:b w:val="false"/>
          <w:i w:val="false"/>
          <w:color w:val="000000"/>
          <w:sz w:val="21"/>
        </w:rPr>
        <w:t>[Filed 3/16/79, Notice 2/7/79—published 4/4/79, effective 5/9/79]</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1/21/88, Notice 11/18/87—published 2/10/88, effective 3/16/88]</w:t>
      </w:r>
    </w:p>
    <w:p>
      <w:pPr>
        <w:spacing w:before="0" w:after="0"/>
        <w:ind w:left="120"/>
        <w:jc w:val="center"/>
      </w:pPr>
      <w:r>
        <w:rPr>
          <w:rFonts w:ascii="Times New Roman" w:hAnsi="Times New Roman"/>
          <w:b w:val="false"/>
          <w:i w:val="false"/>
          <w:color w:val="000000"/>
          <w:sz w:val="21"/>
        </w:rPr>
        <w:t>[Filed 10/10/90, Notice 9/5/90—published 10/31/90, effective 1/1/91]</w:t>
      </w:r>
    </w:p>
    <w:p>
      <w:pPr>
        <w:spacing w:before="0" w:after="0"/>
        <w:ind w:left="120"/>
        <w:jc w:val="center"/>
      </w:pPr>
      <w:r>
        <w:rPr>
          <w:rFonts w:ascii="Times New Roman" w:hAnsi="Times New Roman"/>
          <w:b w:val="false"/>
          <w:i w:val="false"/>
          <w:color w:val="000000"/>
          <w:sz w:val="21"/>
        </w:rPr>
        <w:t>[Filed 5/24/91, Notice 4/3/91—published 6/12/91, effective 7/17/91]</w:t>
      </w:r>
    </w:p>
    <w:p>
      <w:pPr>
        <w:spacing w:before="0" w:after="0"/>
        <w:ind w:left="120"/>
        <w:jc w:val="center"/>
      </w:pPr>
      <w:r>
        <w:rPr>
          <w:rFonts w:ascii="Times New Roman" w:hAnsi="Times New Roman"/>
          <w:b w:val="false"/>
          <w:i w:val="false"/>
          <w:color w:val="000000"/>
          <w:sz w:val="21"/>
        </w:rPr>
        <w:t>[Filed 12/17/91, Notice 11/13/91—published 1/8/92, effective 2/12/92]</w:t>
      </w:r>
    </w:p>
    <w:p>
      <w:pPr>
        <w:spacing w:before="0" w:after="0"/>
        <w:ind w:left="120"/>
        <w:jc w:val="center"/>
      </w:pPr>
      <w:r>
        <w:rPr>
          <w:rFonts w:ascii="Times New Roman" w:hAnsi="Times New Roman"/>
          <w:b w:val="false"/>
          <w:i w:val="false"/>
          <w:color w:val="000000"/>
          <w:sz w:val="21"/>
        </w:rPr>
        <w:t>[Filed 8/14/92, Notice 5/27/92—published 9/2/92, effective 10/7/92]</w:t>
      </w:r>
    </w:p>
    <w:p>
      <w:pPr>
        <w:spacing w:before="0" w:after="0"/>
        <w:ind w:left="120"/>
        <w:jc w:val="center"/>
      </w:pPr>
      <w:r>
        <w:rPr>
          <w:rFonts w:ascii="Times New Roman" w:hAnsi="Times New Roman"/>
          <w:b w:val="false"/>
          <w:i w:val="false"/>
          <w:color w:val="000000"/>
          <w:sz w:val="21"/>
        </w:rPr>
        <w:t>[Filed 1/29/93, Notice 12/23/92—published 2/17/93, effective 3/24/93]</w:t>
      </w:r>
    </w:p>
    <w:p>
      <w:pPr>
        <w:spacing w:before="0" w:after="0"/>
        <w:ind w:left="120"/>
        <w:jc w:val="center"/>
      </w:pPr>
      <w:r>
        <w:rPr>
          <w:rFonts w:ascii="Times New Roman" w:hAnsi="Times New Roman"/>
          <w:b w:val="false"/>
          <w:i w:val="false"/>
          <w:color w:val="000000"/>
          <w:sz w:val="21"/>
        </w:rPr>
        <w:t>[Filed 4/8/93, Notice 3/3/93—published 4/28/93, effective 6/2/93]</w:t>
      </w:r>
    </w:p>
    <w:p>
      <w:pPr>
        <w:spacing w:before="0" w:after="0"/>
        <w:ind w:left="120"/>
        <w:jc w:val="center"/>
      </w:pPr>
      <w:r>
        <w:rPr>
          <w:rFonts w:ascii="Times New Roman" w:hAnsi="Times New Roman"/>
          <w:b w:val="false"/>
          <w:i w:val="false"/>
          <w:color w:val="000000"/>
          <w:sz w:val="21"/>
        </w:rPr>
        <w:t>[Filed 9/17/96, Notice 7/17/96—published 10/9/96, 11/13/96]</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3/10/06, Notice 2/1/06—published 3/29/06, effective 5/3/06]</w:t>
      </w:r>
    </w:p>
    <w:p>
      <w:pPr>
        <w:spacing w:before="0" w:after="0"/>
        <w:ind w:left="120"/>
        <w:jc w:val="center"/>
      </w:pPr>
      <w:r>
        <w:rPr>
          <w:rFonts w:ascii="Times New Roman" w:hAnsi="Times New Roman"/>
          <w:b w:val="false"/>
          <w:i w:val="false"/>
          <w:color w:val="000000"/>
          <w:sz w:val="21"/>
        </w:rPr>
        <w:t>[Filed ARC 0210C</w:t>
      </w:r>
      <w:r>
        <w:rPr>
          <w:rFonts w:ascii="Times New Roman" w:hAnsi="Times New Roman"/>
          <w:b w:val="false"/>
          <w:i w:val="false"/>
          <w:color w:val="000000"/>
          <w:sz w:val="21"/>
        </w:rPr>
        <w:t xml:space="preserve"> (Notice ARC 9953B, IAB 1/11/12)</w:t>
      </w:r>
      <w:r>
        <w:rPr>
          <w:rFonts w:ascii="Times New Roman" w:hAnsi="Times New Roman"/>
          <w:b w:val="false"/>
          <w:i w:val="false"/>
          <w:color w:val="000000"/>
          <w:sz w:val="21"/>
        </w:rPr>
        <w:t>, IAB 7/11/12, effective 8/29/12]</w:t>
      </w:r>
    </w:p>
    <w:p>
      <w:pPr>
        <w:spacing w:before="0" w:after="0"/>
        <w:ind w:left="120"/>
        <w:jc w:val="center"/>
      </w:pPr>
      <w:r>
        <w:rPr>
          <w:rFonts w:ascii="Times New Roman" w:hAnsi="Times New Roman"/>
          <w:b w:val="false"/>
          <w:i w:val="false"/>
          <w:color w:val="000000"/>
          <w:sz w:val="21"/>
        </w:rPr>
        <w:t>[Filed ARC 4055C</w:t>
      </w:r>
      <w:r>
        <w:rPr>
          <w:rFonts w:ascii="Times New Roman" w:hAnsi="Times New Roman"/>
          <w:b w:val="false"/>
          <w:i w:val="false"/>
          <w:color w:val="000000"/>
          <w:sz w:val="21"/>
        </w:rPr>
        <w:t xml:space="preserve"> (Notice ARC 3949C,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6796C</w:t>
      </w:r>
      <w:r>
        <w:rPr>
          <w:rFonts w:ascii="Times New Roman" w:hAnsi="Times New Roman"/>
          <w:b w:val="false"/>
          <w:i w:val="false"/>
          <w:color w:val="000000"/>
          <w:sz w:val="21"/>
        </w:rPr>
        <w:t xml:space="preserve"> (Notice ARC 6603C, IAB 10/19/22)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7916C</w:t>
      </w:r>
      <w:r>
        <w:rPr>
          <w:rFonts w:ascii="Times New Roman" w:hAnsi="Times New Roman"/>
          <w:b w:val="false"/>
          <w:i w:val="false"/>
          <w:color w:val="000000"/>
          <w:sz w:val="21"/>
        </w:rPr>
        <w:t xml:space="preserve"> (Notice ARC 7576C, IAB 2/7/24)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[Filed ARC 0583D</w:t>
      </w:r>
      <w:r>
        <w:rPr>
          <w:rFonts w:ascii="Times New Roman" w:hAnsi="Times New Roman"/>
          <w:b w:val="false"/>
          <w:i w:val="false"/>
          <w:color w:val="000000"/>
          <w:sz w:val="21"/>
        </w:rPr>
        <w:t xml:space="preserve"> (Notice ARC 0361D, IAB 6/10/26)</w:t>
      </w:r>
      <w:r>
        <w:rPr>
          <w:rFonts w:ascii="Times New Roman" w:hAnsi="Times New Roman"/>
          <w:b w:val="false"/>
          <w:i w:val="false"/>
          <w:color w:val="000000"/>
          <w:sz w:val="21"/>
        </w:rPr>
        <w:t>, IAB 9/16/26, effective 10/21/26]</w:t>
      </w:r>
    </w:p>
    <w:sectPr>
      <w:footerReference r:id="rId4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4.303.pdf" Type="http://schemas.openxmlformats.org/officeDocument/2006/relationships/hyperlink" Id="rId5"/>
    <Relationship TargetMode="External" Target="https://www.legis.iowa.gov/docs/ico/chapter/524.1410.pdf" Type="http://schemas.openxmlformats.org/officeDocument/2006/relationships/hyperlink" Id="rId6"/>
    <Relationship TargetMode="External" Target="https://www.legis.iowa.gov/docs/ico/chapter/524.1413.pdf" Type="http://schemas.openxmlformats.org/officeDocument/2006/relationships/hyperlink" Id="rId7"/>
    <Relationship TargetMode="External" Target="https://www.legis.iowa.gov/docs/ico/chapter/524.1415.pdf" Type="http://schemas.openxmlformats.org/officeDocument/2006/relationships/hyperlink" Id="rId8"/>
    <Relationship TargetMode="External" Target="https://www.legis.iowa.gov/docs/ico/chapter/524.1401.pdf" Type="http://schemas.openxmlformats.org/officeDocument/2006/relationships/hyperlink" Id="rId9"/>
    <Relationship TargetMode="External" Target="https://www.legis.iowa.gov/docs/ico/chapter/524.1405.pdf" Type="http://schemas.openxmlformats.org/officeDocument/2006/relationships/hyperlink" Id="rId10"/>
    <Relationship TargetMode="External" Target="https://www.legis.iowa.gov/docs/ico/chapter/524.312.pdf" Type="http://schemas.openxmlformats.org/officeDocument/2006/relationships/hyperlink" Id="rId11"/>
    <Relationship TargetMode="External" Target="https://www.legis.iowa.gov/docs/ico/chapter/524.1201.pdf" Type="http://schemas.openxmlformats.org/officeDocument/2006/relationships/hyperlink" Id="rId12"/>
    <Relationship TargetMode="External" Target="https://www.legis.iowa.gov/docs/ico/chapter/524.312.pdf" Type="http://schemas.openxmlformats.org/officeDocument/2006/relationships/hyperlink" Id="rId13"/>
    <Relationship TargetMode="External" Target="https://www.legis.iowa.gov/docs/ico/chapter/524.544.pdf" Type="http://schemas.openxmlformats.org/officeDocument/2006/relationships/hyperlink" Id="rId14"/>
    <Relationship TargetMode="External" Target="https://www.legis.iowa.gov/docs/ico/chapter/524.1505.pdf" Type="http://schemas.openxmlformats.org/officeDocument/2006/relationships/hyperlink" Id="rId15"/>
    <Relationship TargetMode="External" Target="https://www.legis.iowa.gov/docs/ico/chapter/524.1508.pdf" Type="http://schemas.openxmlformats.org/officeDocument/2006/relationships/hyperlink" Id="rId16"/>
    <Relationship TargetMode="External" Target="https://www.legis.iowa.gov/docs/ico/chapter/524.1509.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ac/chapter/187.7.pdf" Type="http://schemas.openxmlformats.org/officeDocument/2006/relationships/hyperlink" Id="rId19"/>
    <Relationship TargetMode="External" Target="https://www.legis.iowa.gov/docs/ico/chapter/17A.3.pdf" Type="http://schemas.openxmlformats.org/officeDocument/2006/relationships/hyperlink" Id="rId20"/>
    <Relationship TargetMode="External" Target="https://www.legis.iowa.gov/docs/ico/chapter/524.305.pdf" Type="http://schemas.openxmlformats.org/officeDocument/2006/relationships/hyperlink" Id="rId21"/>
    <Relationship TargetMode="External" Target="https://www.legis.iowa.gov/docs/ico/chapter/524.312.pdf" Type="http://schemas.openxmlformats.org/officeDocument/2006/relationships/hyperlink" Id="rId22"/>
    <Relationship TargetMode="External" Target="https://www.legis.iowa.gov/docs/ico/chapter/524.1201.pdf" Type="http://schemas.openxmlformats.org/officeDocument/2006/relationships/hyperlink" Id="rId23"/>
    <Relationship TargetMode="External" Target="https://www.legis.iowa.gov/docs/ico/chapter/524.1303.pdf" Type="http://schemas.openxmlformats.org/officeDocument/2006/relationships/hyperlink" Id="rId24"/>
    <Relationship TargetMode="External" Target="https://www.legis.iowa.gov/docs/ico/chapter/524.1403.pdf" Type="http://schemas.openxmlformats.org/officeDocument/2006/relationships/hyperlink" Id="rId25"/>
    <Relationship TargetMode="External" Target="https://www.legis.iowa.gov/docs/ico/chapter/524.103.pdf" Type="http://schemas.openxmlformats.org/officeDocument/2006/relationships/hyperlink" Id="rId26"/>
    <Relationship TargetMode="External" Target="https://www.legis.iowa.gov/docs/ico/chapter/524.103.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524.802.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524.825.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524.901.pdf" Type="http://schemas.openxmlformats.org/officeDocument/2006/relationships/hyperlink" Id="rId33"/>
    <Relationship TargetMode="External" Target="https://www.legis.iowa.gov/docs/ico/chapter/524.213.pdf" Type="http://schemas.openxmlformats.org/officeDocument/2006/relationships/hyperlink" Id="rId34"/>
    <Relationship TargetMode="External" Target="https://www.legis.iowa.gov/docs/ico/chapter/524.1201.pdf" Type="http://schemas.openxmlformats.org/officeDocument/2006/relationships/hyperlink" Id="rId35"/>
    <Relationship TargetMode="External" Target="https://www.legis.iowa.gov/docs/ico/chapter/524.213.pdf" Type="http://schemas.openxmlformats.org/officeDocument/2006/relationships/hyperlink" Id="rId36"/>
    <Relationship TargetMode="External" Target="https://www.legis.iowa.gov/docs/ico/chapter/524.303.pdf" Type="http://schemas.openxmlformats.org/officeDocument/2006/relationships/hyperlink" Id="rId37"/>
    <Relationship TargetMode="External" Target="https://www.legis.iowa.gov/docs/ico/chapter/524.305.pdf" Type="http://schemas.openxmlformats.org/officeDocument/2006/relationships/hyperlink" Id="rId38"/>
    <Relationship TargetMode="External" Target="https://www.legis.iowa.gov/docs/ico/chapter/524.1410.pdf" Type="http://schemas.openxmlformats.org/officeDocument/2006/relationships/hyperlink" Id="rId39"/>
    <Relationship TargetMode="External" Target="https://www.legis.iowa.gov/docs/ico/chapter/524.1413.pdf" Type="http://schemas.openxmlformats.org/officeDocument/2006/relationships/hyperlink" Id="rId40"/>
    <Relationship TargetMode="External" Target="https://www.legis.iowa.gov/docs/ico/chapter/524.1415.pdf" Type="http://schemas.openxmlformats.org/officeDocument/2006/relationships/hyperlink" Id="rId41"/>
    <Relationship Target="footer.xml" Type="http://schemas.openxmlformats.org/officeDocument/2006/relationships/footer"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