
<file path=[Content_Types].xml><?xml version="1.0" encoding="utf-8"?>
<Types xmlns="http://schemas.openxmlformats.org/package/2006/content-types">
  <Default Extension="rels" ContentType="application/vnd.openxmlformats-package.relationships+xml"/>
  <Override ContentType="application/vnd.openxmlformats-officedocument.extended-properties+xml" PartName="/docProps/app.xml"/>
  <Override ContentType="application/vnd.openxmlformats-package.core-properties+xml" PartName="/docProps/core.xml"/>
  <Override ContentType="application/vnd.openxmlformats-officedocument.wordprocessingml.document.main+xml" PartName="/word/document.xml"/>
  <Override ContentType="application/vnd.openxmlformats-officedocument.wordprocessingml.footer+xml" PartName="/word/footer.xml"/>
  <Override ContentType="application/vnd.openxmlformats-officedocument.wordprocessingml.numbering+xml" PartName="/word/numbering.xml"/>
  <Override ContentType="application/vnd.openxmlformats-officedocument.wordprocessingml.settings+xml" PartName="/word/settings.xml"/>
  <Override ContentType="application/vnd.openxmlformats-officedocument.wordprocessingml.styles+xml" PartName="/word/styles.xml"/>
</Types>
</file>

<file path=_rels/.rels><?xml version="1.0" encoding="UTF-8" standalone="yes"?>
<Relationships xmlns="http://schemas.openxmlformats.org/package/2006/relationships">
    <Relationship Target="word/document.xml" Type="http://schemas.openxmlformats.org/officeDocument/2006/relationships/officeDocument" Id="rId1"/>
    <Relationship Target="docProps/core.xml" Type="http://schemas.openxmlformats.org/package/2006/relationships/metadata/core-properties" Id="rId2"/>
    <Relationship Target="docProps/app.xml" Type="http://schemas.openxmlformats.org/officeDocument/2006/relationships/extended-properties" Id="rId3"/>
</Relationships>

</file>

<file path=word/document.xml><?xml version="1.0" encoding="utf-8"?>
<w:document xmlns:w="http://schemas.openxmlformats.org/wordprocessingml/2006/main" xmlns:w14="http://schemas.microsoft.com/office/word/2010/wordml" xmlns:r="http://schemas.openxmlformats.org/officeDocument/2006/relationships" xmlns:wp="http://schemas.openxmlformats.org/drawingml/2006/wordprocessingDrawing" xmlns:a="http://schemas.openxmlformats.org/drawingml/2006/main" xmlns:wp14="http://schemas.microsoft.com/office/word/2010/wordprocessingDrawing" xmlns:m="http://schemas.openxmlformats.org/officeDocument/2006/math" xmlns:w15="http://schemas.microsoft.com/office/word/2012/wordml" xmlns:mc="http://schemas.openxmlformats.org/markup-compatibility/2006" xmlns:a14="http://schemas.microsoft.com/office/drawing/2010/main" xmlns:sl="http://schemas.openxmlformats.org/schemaLibrary/2006/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w:body>
    <!-- Created by docx4j 11.5.9 (Apache licensed) using REFERENCE JAXB in Eclipse Adoptium Java 21.0.9 on Windows Server 2022 -->
    <w:p>
      <w:pPr>
        <w:spacing w:before="0" w:after="0"/>
        <w:ind w:left="120"/>
        <w:jc w:val="both"/>
      </w:pPr>
    </w:p>
    <w:p>
      <w:pPr>
        <w:spacing w:before="0" w:after="0"/>
        <w:ind w:left="120"/>
        <w:jc w:val="center"/>
      </w:pPr>
      <w:r>
        <w:rPr>
          <w:rFonts w:ascii="Times New Roman" w:hAnsi="Times New Roman"/>
          <w:b w:val="false"/>
          <w:i w:val="false"/>
          <w:color w:val="000000"/>
          <w:sz w:val="21"/>
        </w:rPr>
        <w:t xml:space="preserve">CHAPTER </w:t>
      </w:r>
      <w:r>
        <w:rPr>
          <w:rFonts w:ascii="Times New Roman" w:hAnsi="Times New Roman"/>
          <w:b w:val="false"/>
          <w:i w:val="false"/>
          <w:color w:val="000000"/>
          <w:sz w:val="21"/>
        </w:rPr>
        <w:t>17</w:t>
      </w:r>
    </w:p>
    <w:p>
      <w:pPr>
        <w:spacing w:before="0" w:after="0"/>
        <w:ind w:left="120"/>
        <w:jc w:val="center"/>
      </w:pPr>
      <w:r>
        <w:rPr>
          <w:rFonts w:ascii="Times New Roman" w:hAnsi="Times New Roman"/>
          <w:b w:val="false"/>
          <w:i w:val="false"/>
          <w:color w:val="000000"/>
          <w:sz w:val="21"/>
        </w:rPr>
        <w:t>DELAYED DEPOSIT SERVICES</w:t>
      </w:r>
    </w:p>
    <w:p>
      <w:pPr>
        <w:pBdr>
          <w:top w:space="10"/>
        </w:pBdr>
        <w:spacing w:before="0" w:after="0"/>
        <w:ind w:left="120"/>
        <w:jc w:val="center"/>
      </w:pPr>
      <w:r>
        <w:rPr>
          <w:rFonts w:ascii="Times New Roman" w:hAnsi="Times New Roman"/>
          <w:b w:val="false"/>
          <w:i w:val="false"/>
          <w:color w:val="000000"/>
          <w:sz w:val="22"/>
        </w:rPr>
        <w:t xml:space="preserve">Chapter exempt from chapter rescission pursuant to Iowa Code section </w:t>
      </w:r>
      <w:hyperlink r:id="rId4">
        <w:r>
          <w:rPr>
            <w:rStyle w:val="Hyperlink"/>
            <w:rFonts w:ascii="Times New Roman" w:hAnsi="Times New Roman"/>
            <w:b w:val="false"/>
            <w:i w:val="false"/>
            <w:color w:val="000000"/>
            <w:sz w:val="22"/>
          </w:rPr>
          <w:t>17A.7</w:t>
        </w:r>
      </w:hyperlink>
    </w:p>
    <w:p>
      <w:pPr>
        <w:spacing w:before="0" w:after="0"/>
        <w:ind w:left="120"/>
        <w:jc w:val="both"/>
      </w:pPr>
      <w:r>
        <w:rPr>
          <w:rFonts w:ascii="Times New Roman" w:hAnsi="Times New Roman"/>
          <w:b/>
          <w:i w:val="false"/>
          <w:color w:val="000000"/>
          <w:sz w:val="22"/>
        </w:rPr>
        <w:t>187—17.1</w:t>
      </w:r>
      <w:r>
        <w:rPr>
          <w:rFonts w:ascii="Times New Roman" w:hAnsi="Times New Roman"/>
          <w:b/>
          <w:i w:val="false"/>
          <w:color w:val="000000"/>
          <w:sz w:val="22"/>
        </w:rPr>
        <w:t xml:space="preserve">(17A,533D) </w:t>
      </w:r>
      <w:r>
        <w:rPr>
          <w:rFonts w:ascii="Times New Roman" w:hAnsi="Times New Roman"/>
          <w:b/>
          <w:i w:val="false"/>
          <w:color w:val="000000"/>
          <w:sz w:val="22"/>
        </w:rPr>
        <w:t xml:space="preserve">Definitions. </w:t>
      </w:r>
      <w:r>
        <w:rPr>
          <w:rFonts w:ascii="Times New Roman" w:hAnsi="Times New Roman"/>
          <w:b w:val="false"/>
          <w:i w:val="false"/>
          <w:color w:val="000000"/>
          <w:sz w:val="22"/>
        </w:rPr>
        <w:t xml:space="preserve">For the purposes of this chapter, the definitions in Iowa Code chapter </w:t>
      </w:r>
      <w:hyperlink r:id="rId5">
        <w:r>
          <w:rPr>
            <w:rStyle w:val="Hyperlink"/>
            <w:rFonts w:ascii="Times New Roman" w:hAnsi="Times New Roman"/>
            <w:b w:val="false"/>
            <w:i w:val="false"/>
            <w:color w:val="000000"/>
            <w:sz w:val="22"/>
          </w:rPr>
          <w:t>533D</w:t>
        </w:r>
      </w:hyperlink>
      <w:r>
        <w:rPr>
          <w:rFonts w:ascii="Times New Roman" w:hAnsi="Times New Roman"/>
          <w:b w:val="false"/>
          <w:i w:val="false"/>
          <w:color w:val="000000"/>
          <w:sz w:val="22"/>
        </w:rPr>
        <w:t xml:space="preserve"> shall apply. In addition, unless the context otherwise requires: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“Delayed deposit transactions”</w:t>
      </w:r>
      <w:r>
        <w:rPr>
          <w:rFonts w:ascii="Times New Roman" w:hAnsi="Times New Roman"/>
          <w:b w:val="false"/>
          <w:i w:val="false"/>
          <w:color w:val="000000"/>
          <w:sz w:val="22"/>
        </w:rPr>
        <w:t> </w:t>
      </w:r>
      <w:r>
        <w:rPr>
          <w:rFonts w:ascii="Times New Roman" w:hAnsi="Times New Roman"/>
          <w:b w:val="false"/>
          <w:i w:val="false"/>
          <w:color w:val="000000"/>
          <w:sz w:val="22"/>
        </w:rPr>
        <w:t xml:space="preserve">means the activities of a “delayed deposit services business” as defined in Iowa Code section </w:t>
      </w:r>
      <w:hyperlink r:id="rId6">
        <w:r>
          <w:rPr>
            <w:rStyle w:val="Hyperlink"/>
            <w:rFonts w:ascii="Times New Roman" w:hAnsi="Times New Roman"/>
            <w:b w:val="false"/>
            <w:i w:val="false"/>
            <w:color w:val="000000"/>
            <w:sz w:val="22"/>
          </w:rPr>
          <w:t>533D.2(2)</w:t>
        </w:r>
      </w:hyperlink>
      <w:r>
        <w:rPr>
          <w:rFonts w:ascii="Times New Roman" w:hAnsi="Times New Roman"/>
          <w:b w:val="false"/>
          <w:i w:val="false"/>
          <w:color w:val="000000"/>
          <w:sz w:val="22"/>
        </w:rPr>
        <w: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“Maker”</w:t>
      </w:r>
      <w:r>
        <w:rPr>
          <w:rFonts w:ascii="Times New Roman" w:hAnsi="Times New Roman"/>
          <w:b w:val="false"/>
          <w:i w:val="false"/>
          <w:color w:val="000000"/>
          <w:sz w:val="22"/>
        </w:rPr>
        <w:t> </w:t>
      </w:r>
      <w:r>
        <w:rPr>
          <w:rFonts w:ascii="Times New Roman" w:hAnsi="Times New Roman"/>
          <w:b w:val="false"/>
          <w:i w:val="false"/>
          <w:color w:val="000000"/>
          <w:sz w:val="22"/>
        </w:rPr>
        <w:t>means a person who issues a check in order to enter into a delayed deposit transaction.</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“Nationwide multistate licensing system”</w:t>
      </w:r>
      <w:r>
        <w:rPr>
          <w:rFonts w:ascii="Times New Roman" w:hAnsi="Times New Roman"/>
          <w:b w:val="false"/>
          <w:i w:val="false"/>
          <w:color w:val="000000"/>
          <w:sz w:val="22"/>
        </w:rPr>
        <w:t> </w:t>
      </w:r>
      <w:r>
        <w:rPr>
          <w:rFonts w:ascii="Times New Roman" w:hAnsi="Times New Roman"/>
          <w:b w:val="false"/>
          <w:i w:val="false"/>
          <w:color w:val="000000"/>
          <w:sz w:val="22"/>
        </w:rPr>
        <w:t xml:space="preserve">or </w:t>
      </w:r>
      <w:r>
        <w:rPr>
          <w:rFonts w:ascii="Times New Roman" w:hAnsi="Times New Roman"/>
          <w:b w:val="false"/>
          <w:i/>
          <w:color w:val="000000"/>
          <w:sz w:val="22"/>
        </w:rPr>
        <w:t>“NMLS”</w:t>
      </w:r>
      <w:r>
        <w:rPr>
          <w:rFonts w:ascii="Times New Roman" w:hAnsi="Times New Roman"/>
          <w:b w:val="false"/>
          <w:i w:val="false"/>
          <w:color w:val="000000"/>
          <w:sz w:val="22"/>
        </w:rPr>
        <w:t> </w:t>
      </w:r>
      <w:r>
        <w:rPr>
          <w:rFonts w:ascii="Times New Roman" w:hAnsi="Times New Roman"/>
          <w:b w:val="false"/>
          <w:i w:val="false"/>
          <w:color w:val="000000"/>
          <w:sz w:val="22"/>
        </w:rPr>
        <w:t xml:space="preserve">means the same as “nationwide mortgage licensing system and registry” as defined in Iowa Code section </w:t>
      </w:r>
      <w:hyperlink r:id="rId7">
        <w:r>
          <w:rPr>
            <w:rStyle w:val="Hyperlink"/>
            <w:rFonts w:ascii="Times New Roman" w:hAnsi="Times New Roman"/>
            <w:b w:val="false"/>
            <w:i w:val="false"/>
            <w:color w:val="000000"/>
            <w:sz w:val="22"/>
          </w:rPr>
          <w:t>535D.3</w:t>
        </w:r>
      </w:hyperlink>
      <w:r>
        <w:rPr>
          <w:rFonts w:ascii="Times New Roman" w:hAnsi="Times New Roman"/>
          <w:b w:val="false"/>
          <w:i w:val="false"/>
          <w:color w:val="000000"/>
          <w:sz w:val="22"/>
        </w:rPr>
        <w:t>.</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0589D</w:t>
      </w:r>
      <w:r>
        <w:rPr>
          <w:rFonts w:ascii="Times New Roman" w:hAnsi="Times New Roman"/>
          <w:b w:val="false"/>
          <w:i w:val="false"/>
          <w:color w:val="000000"/>
          <w:sz w:val="16"/>
        </w:rPr>
        <w:t>, IAB 9/16/26, effective 10/21/26</w:t>
      </w:r>
      <w:r>
        <w:rPr>
          <w:rFonts w:ascii="Times New Roman" w:hAnsi="Times New Roman"/>
          <w:b w:val="false"/>
          <w:i w:val="false"/>
          <w:color w:val="000000"/>
          <w:sz w:val="16"/>
        </w:rPr>
        <w:t>]</w:t>
      </w:r>
    </w:p>
    <w:p>
      <w:pPr>
        <w:spacing w:before="0" w:after="0"/>
        <w:ind w:left="120"/>
        <w:jc w:val="both"/>
      </w:pPr>
      <w:r>
        <w:rPr>
          <w:rFonts w:ascii="Times New Roman" w:hAnsi="Times New Roman"/>
          <w:b/>
          <w:i w:val="false"/>
          <w:color w:val="000000"/>
          <w:sz w:val="22"/>
        </w:rPr>
        <w:t>187—17.2</w:t>
      </w:r>
      <w:r>
        <w:rPr>
          <w:rFonts w:ascii="Times New Roman" w:hAnsi="Times New Roman"/>
          <w:b/>
          <w:i w:val="false"/>
          <w:color w:val="000000"/>
          <w:sz w:val="22"/>
        </w:rPr>
        <w:t xml:space="preserve">(17A,533D) </w:t>
      </w:r>
      <w:r>
        <w:rPr>
          <w:rFonts w:ascii="Times New Roman" w:hAnsi="Times New Roman"/>
          <w:b/>
          <w:i w:val="false"/>
          <w:color w:val="000000"/>
          <w:sz w:val="22"/>
        </w:rPr>
        <w:t xml:space="preserve">Utilization of NMLS. </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17.2(1)</w:t>
      </w:r>
      <w:r>
        <w:rPr>
          <w:rFonts w:ascii="Times New Roman" w:hAnsi="Times New Roman"/>
          <w:b w:val="false"/>
          <w:i w:val="false"/>
          <w:color w:val="000000"/>
          <w:sz w:val="22"/>
        </w:rPr>
        <w:t> </w:t>
      </w:r>
      <w:r>
        <w:rPr>
          <w:rFonts w:ascii="Times New Roman" w:hAnsi="Times New Roman"/>
          <w:b w:val="false"/>
          <w:i w:val="false"/>
          <w:color w:val="000000"/>
          <w:sz w:val="22"/>
        </w:rPr>
        <w:t>All application and licensing information shall be submitted through NMLS, including but not limited to the following: original application information; changes in application information; license renewal information; changes in name, location, and control; and notices of significant events.</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17.2(2)</w:t>
      </w:r>
      <w:r>
        <w:rPr>
          <w:rFonts w:ascii="Times New Roman" w:hAnsi="Times New Roman"/>
          <w:b w:val="false"/>
          <w:i w:val="false"/>
          <w:color w:val="000000"/>
          <w:sz w:val="22"/>
        </w:rPr>
        <w:t> </w:t>
      </w:r>
      <w:r>
        <w:rPr>
          <w:rFonts w:ascii="Times New Roman" w:hAnsi="Times New Roman"/>
          <w:b w:val="false"/>
          <w:i w:val="false"/>
          <w:color w:val="000000"/>
          <w:sz w:val="22"/>
        </w:rPr>
        <w:t>The applicant or licensee shall pay any fees required by NMLS, including but not limited to the following: initial set-up fee and annual processing fees, background check fees, and credit background check fees.</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0589D</w:t>
      </w:r>
      <w:r>
        <w:rPr>
          <w:rFonts w:ascii="Times New Roman" w:hAnsi="Times New Roman"/>
          <w:b w:val="false"/>
          <w:i w:val="false"/>
          <w:color w:val="000000"/>
          <w:sz w:val="16"/>
        </w:rPr>
        <w:t>, IAB 9/16/26, effective 10/21/26</w:t>
      </w:r>
      <w:r>
        <w:rPr>
          <w:rFonts w:ascii="Times New Roman" w:hAnsi="Times New Roman"/>
          <w:b w:val="false"/>
          <w:i w:val="false"/>
          <w:color w:val="000000"/>
          <w:sz w:val="16"/>
        </w:rPr>
        <w:t>]</w:t>
      </w:r>
    </w:p>
    <w:p>
      <w:pPr>
        <w:spacing w:before="0" w:after="0"/>
        <w:ind w:left="120"/>
        <w:jc w:val="both"/>
      </w:pPr>
      <w:r>
        <w:rPr>
          <w:rFonts w:ascii="Times New Roman" w:hAnsi="Times New Roman"/>
          <w:b/>
          <w:i w:val="false"/>
          <w:color w:val="000000"/>
          <w:sz w:val="22"/>
        </w:rPr>
        <w:t>187—17.3</w:t>
      </w:r>
      <w:r>
        <w:rPr>
          <w:rFonts w:ascii="Times New Roman" w:hAnsi="Times New Roman"/>
          <w:b/>
          <w:i w:val="false"/>
          <w:color w:val="000000"/>
          <w:sz w:val="22"/>
        </w:rPr>
        <w:t xml:space="preserve">(17A,533D) </w:t>
      </w:r>
      <w:r>
        <w:rPr>
          <w:rFonts w:ascii="Times New Roman" w:hAnsi="Times New Roman"/>
          <w:b/>
          <w:i w:val="false"/>
          <w:color w:val="000000"/>
          <w:sz w:val="22"/>
        </w:rPr>
        <w:t xml:space="preserve">Application for license. </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17.3(1)</w:t>
      </w:r>
      <w:r>
        <w:rPr>
          <w:rFonts w:ascii="Times New Roman" w:hAnsi="Times New Roman"/>
          <w:b w:val="false"/>
          <w:i w:val="false"/>
          <w:color w:val="000000"/>
          <w:sz w:val="22"/>
        </w:rPr>
        <w:t> </w:t>
      </w:r>
      <w:r>
        <w:rPr>
          <w:rFonts w:ascii="Times New Roman" w:hAnsi="Times New Roman"/>
          <w:b w:val="false"/>
          <w:i w:val="false"/>
          <w:color w:val="000000"/>
          <w:sz w:val="22"/>
        </w:rPr>
        <w:t>An application for a license to operate a delayed deposit services business in Iowa shall be submitted to the superintendent, on the form provided and with the information requested, through NMLS. The superintendent may consider an application withdrawn if it does not contain all required information and the missing information is not submitted to the superintendent within 30 days after the superintendent requests the missing information. The applicant may also request that the application be withdrawn at any time before the superintendent has decided to grant or deny the application.</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17.3(2)</w:t>
      </w:r>
      <w:r>
        <w:rPr>
          <w:rFonts w:ascii="Times New Roman" w:hAnsi="Times New Roman"/>
          <w:b w:val="false"/>
          <w:i w:val="false"/>
          <w:color w:val="000000"/>
          <w:sz w:val="22"/>
        </w:rPr>
        <w:t> </w:t>
      </w:r>
      <w:r>
        <w:rPr>
          <w:rFonts w:ascii="Times New Roman" w:hAnsi="Times New Roman"/>
          <w:b w:val="false"/>
          <w:i w:val="false"/>
          <w:color w:val="000000"/>
          <w:sz w:val="22"/>
        </w:rPr>
        <w:t>Each officer, director and individual who has control of an applicant must provide fingerprints, authorize a fingerprint background check through NMLS, and pay the appropriate fees for the purpose of conducting a national criminal history background check through the Federal Bureau of Investigation.</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17.3(3)</w:t>
      </w:r>
      <w:r>
        <w:rPr>
          <w:rFonts w:ascii="Times New Roman" w:hAnsi="Times New Roman"/>
          <w:b w:val="false"/>
          <w:i w:val="false"/>
          <w:color w:val="000000"/>
          <w:sz w:val="22"/>
        </w:rPr>
        <w:t> </w:t>
      </w:r>
      <w:r>
        <w:rPr>
          <w:rFonts w:ascii="Times New Roman" w:hAnsi="Times New Roman"/>
          <w:b w:val="false"/>
          <w:i w:val="false"/>
          <w:color w:val="000000"/>
          <w:sz w:val="22"/>
        </w:rPr>
        <w:t xml:space="preserve">The applicant must submit the application fee specified in Iowa Code section </w:t>
      </w:r>
      <w:hyperlink r:id="rId8">
        <w:r>
          <w:rPr>
            <w:rStyle w:val="Hyperlink"/>
            <w:rFonts w:ascii="Times New Roman" w:hAnsi="Times New Roman"/>
            <w:b w:val="false"/>
            <w:i w:val="false"/>
            <w:color w:val="000000"/>
            <w:sz w:val="22"/>
          </w:rPr>
          <w:t>533D.3</w:t>
        </w:r>
      </w:hyperlink>
      <w:r>
        <w:rPr>
          <w:rFonts w:ascii="Times New Roman" w:hAnsi="Times New Roman"/>
          <w:b w:val="false"/>
          <w:i w:val="false"/>
          <w:color w:val="000000"/>
          <w:sz w:val="22"/>
        </w:rPr>
        <w:t xml:space="preserve"> and an initial license fee of $250. The superintendent shall refund the initial license fee if the application is denied, but the application fee is not subject to refund.</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17.3(4)</w:t>
      </w:r>
      <w:r>
        <w:rPr>
          <w:rFonts w:ascii="Times New Roman" w:hAnsi="Times New Roman"/>
          <w:b w:val="false"/>
          <w:i w:val="false"/>
          <w:color w:val="000000"/>
          <w:sz w:val="22"/>
        </w:rPr>
        <w:t> </w:t>
      </w:r>
      <w:r>
        <w:rPr>
          <w:rFonts w:ascii="Times New Roman" w:hAnsi="Times New Roman"/>
          <w:b w:val="false"/>
          <w:i w:val="false"/>
          <w:color w:val="000000"/>
          <w:sz w:val="22"/>
        </w:rPr>
        <w:t>If any information material to the application changes after the applicant files the initial application, the applicant shall provide updated information to the superintendent within ten days of the change. When such a material change in information has occurred, the superintendent may deny an application if the applicant fails to provide updated information within the prescribed time frame.</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17.3(5)</w:t>
      </w:r>
      <w:r>
        <w:rPr>
          <w:rFonts w:ascii="Times New Roman" w:hAnsi="Times New Roman"/>
          <w:b w:val="false"/>
          <w:i w:val="false"/>
          <w:color w:val="000000"/>
          <w:sz w:val="22"/>
        </w:rPr>
        <w:t> </w:t>
      </w:r>
      <w:r>
        <w:rPr>
          <w:rFonts w:ascii="Times New Roman" w:hAnsi="Times New Roman"/>
          <w:b w:val="false"/>
          <w:i w:val="false"/>
          <w:color w:val="000000"/>
          <w:sz w:val="22"/>
        </w:rPr>
        <w:t xml:space="preserve">An applicant must file with the superintendent a bond complying with the provisions of Iowa Code section </w:t>
      </w:r>
      <w:hyperlink r:id="rId9">
        <w:r>
          <w:rPr>
            <w:rStyle w:val="Hyperlink"/>
            <w:rFonts w:ascii="Times New Roman" w:hAnsi="Times New Roman"/>
            <w:b w:val="false"/>
            <w:i w:val="false"/>
            <w:color w:val="000000"/>
            <w:sz w:val="22"/>
          </w:rPr>
          <w:t>533D.3(3)</w:t>
        </w:r>
      </w:hyperlink>
      <w:r>
        <w:rPr>
          <w:rFonts w:ascii="Times New Roman" w:hAnsi="Times New Roman"/>
          <w:b w:val="false"/>
          <w:i/>
          <w:color w:val="000000"/>
          <w:sz w:val="22"/>
        </w:rPr>
        <w:t>“b.”</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0589D</w:t>
      </w:r>
      <w:r>
        <w:rPr>
          <w:rFonts w:ascii="Times New Roman" w:hAnsi="Times New Roman"/>
          <w:b w:val="false"/>
          <w:i w:val="false"/>
          <w:color w:val="000000"/>
          <w:sz w:val="16"/>
        </w:rPr>
        <w:t>, IAB 9/16/26, effective 10/21/26</w:t>
      </w:r>
      <w:r>
        <w:rPr>
          <w:rFonts w:ascii="Times New Roman" w:hAnsi="Times New Roman"/>
          <w:b w:val="false"/>
          <w:i w:val="false"/>
          <w:color w:val="000000"/>
          <w:sz w:val="16"/>
        </w:rPr>
        <w:t>]</w:t>
      </w:r>
    </w:p>
    <w:p>
      <w:pPr>
        <w:spacing w:before="0" w:after="0"/>
        <w:ind w:left="120"/>
        <w:jc w:val="both"/>
      </w:pPr>
      <w:r>
        <w:rPr>
          <w:rFonts w:ascii="Times New Roman" w:hAnsi="Times New Roman"/>
          <w:b/>
          <w:i w:val="false"/>
          <w:color w:val="000000"/>
          <w:sz w:val="22"/>
        </w:rPr>
        <w:t>187—17.4</w:t>
      </w:r>
      <w:r>
        <w:rPr>
          <w:rFonts w:ascii="Times New Roman" w:hAnsi="Times New Roman"/>
          <w:b/>
          <w:i w:val="false"/>
          <w:color w:val="000000"/>
          <w:sz w:val="22"/>
        </w:rPr>
        <w:t xml:space="preserve">(17A,533D) </w:t>
      </w:r>
      <w:r>
        <w:rPr>
          <w:rFonts w:ascii="Times New Roman" w:hAnsi="Times New Roman"/>
          <w:b/>
          <w:i w:val="false"/>
          <w:color w:val="000000"/>
          <w:sz w:val="22"/>
        </w:rPr>
        <w:t xml:space="preserve">Grounds for approval or denial. </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17.4(1)</w:t>
      </w:r>
      <w:r>
        <w:rPr>
          <w:rFonts w:ascii="Times New Roman" w:hAnsi="Times New Roman"/>
          <w:b w:val="false"/>
          <w:i w:val="false"/>
          <w:color w:val="000000"/>
          <w:sz w:val="22"/>
        </w:rPr>
        <w:t> </w:t>
      </w:r>
      <w:r>
        <w:rPr>
          <w:rFonts w:ascii="Times New Roman" w:hAnsi="Times New Roman"/>
          <w:b w:val="false"/>
          <w:i w:val="false"/>
          <w:color w:val="000000"/>
          <w:sz w:val="22"/>
        </w:rPr>
        <w:t xml:space="preserve">The superintendent shall approve or deny a license application in accordance with the provisions of Iowa Code section </w:t>
      </w:r>
      <w:hyperlink r:id="rId10">
        <w:r>
          <w:rPr>
            <w:rStyle w:val="Hyperlink"/>
            <w:rFonts w:ascii="Times New Roman" w:hAnsi="Times New Roman"/>
            <w:b w:val="false"/>
            <w:i w:val="false"/>
            <w:color w:val="000000"/>
            <w:sz w:val="22"/>
          </w:rPr>
          <w:t>533D.3</w:t>
        </w:r>
      </w:hyperlink>
      <w:r>
        <w:rPr>
          <w:rFonts w:ascii="Times New Roman" w:hAnsi="Times New Roman"/>
          <w:b w:val="false"/>
          <w:i w:val="false"/>
          <w:color w:val="000000"/>
          <w:sz w:val="22"/>
        </w:rPr>
        <w:t>.</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17.4(2)</w:t>
      </w:r>
      <w:r>
        <w:rPr>
          <w:rFonts w:ascii="Times New Roman" w:hAnsi="Times New Roman"/>
          <w:b w:val="false"/>
          <w:i w:val="false"/>
          <w:color w:val="000000"/>
          <w:sz w:val="22"/>
        </w:rPr>
        <w:t> </w:t>
      </w:r>
      <w:r>
        <w:rPr>
          <w:rFonts w:ascii="Times New Roman" w:hAnsi="Times New Roman"/>
          <w:b w:val="false"/>
          <w:i w:val="false"/>
          <w:color w:val="000000"/>
          <w:sz w:val="22"/>
        </w:rPr>
        <w:t xml:space="preserve">The following may be considered evidence that the business of the applicant may not be operated lawfully and honestly consistent with the purposes of Iowa Code chapter </w:t>
      </w:r>
      <w:hyperlink r:id="rId11">
        <w:r>
          <w:rPr>
            <w:rStyle w:val="Hyperlink"/>
            <w:rFonts w:ascii="Times New Roman" w:hAnsi="Times New Roman"/>
            <w:b w:val="false"/>
            <w:i w:val="false"/>
            <w:color w:val="000000"/>
            <w:sz w:val="22"/>
          </w:rPr>
          <w:t>533D</w:t>
        </w:r>
      </w:hyperlink>
      <w:r>
        <w:rPr>
          <w:rFonts w:ascii="Times New Roman" w:hAnsi="Times New Roman"/>
          <w:b w:val="false"/>
          <w:i w:val="false"/>
          <w:color w:val="000000"/>
          <w:sz w:val="22"/>
        </w:rPr>
        <w:t xml:space="preserve"> and may therefore be considered grounds for denial of an application:</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val="false"/>
          <w:color w:val="000000"/>
          <w:sz w:val="22"/>
        </w:rPr>
        <w:t>An applicant, or an officer, director, or individual who has control of an applicant, has had a mortgage loan originator license or any lending license revoked in any governmental jurisdiction.</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val="false"/>
          <w:color w:val="000000"/>
          <w:sz w:val="22"/>
        </w:rPr>
        <w:t>An applicant, or an officer, director, or individual who has control of an applicant, has been convicted of, or pled guilty or no contest to, a felony in a domestic, foreign, or military court if such felony involved an act of fraud, dishonesty, or breach of trust, or money laundering.</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0589D</w:t>
      </w:r>
      <w:r>
        <w:rPr>
          <w:rFonts w:ascii="Times New Roman" w:hAnsi="Times New Roman"/>
          <w:b w:val="false"/>
          <w:i w:val="false"/>
          <w:color w:val="000000"/>
          <w:sz w:val="16"/>
        </w:rPr>
        <w:t>, IAB 9/16/26, effective 10/21/26</w:t>
      </w:r>
      <w:r>
        <w:rPr>
          <w:rFonts w:ascii="Times New Roman" w:hAnsi="Times New Roman"/>
          <w:b w:val="false"/>
          <w:i w:val="false"/>
          <w:color w:val="000000"/>
          <w:sz w:val="16"/>
        </w:rPr>
        <w:t>]</w:t>
      </w:r>
    </w:p>
    <w:p>
      <w:pPr>
        <w:spacing w:before="0" w:after="0"/>
        <w:ind w:left="120"/>
        <w:jc w:val="both"/>
      </w:pPr>
      <w:r>
        <w:rPr>
          <w:rFonts w:ascii="Times New Roman" w:hAnsi="Times New Roman"/>
          <w:b/>
          <w:i w:val="false"/>
          <w:color w:val="000000"/>
          <w:sz w:val="22"/>
        </w:rPr>
        <w:t>187—17.5</w:t>
      </w:r>
      <w:r>
        <w:rPr>
          <w:rFonts w:ascii="Times New Roman" w:hAnsi="Times New Roman"/>
          <w:b/>
          <w:i w:val="false"/>
          <w:color w:val="000000"/>
          <w:sz w:val="22"/>
        </w:rPr>
        <w:t xml:space="preserve">(17A,533D) </w:t>
      </w:r>
      <w:r>
        <w:rPr>
          <w:rFonts w:ascii="Times New Roman" w:hAnsi="Times New Roman"/>
          <w:b/>
          <w:i w:val="false"/>
          <w:color w:val="000000"/>
          <w:sz w:val="22"/>
        </w:rPr>
        <w:t xml:space="preserve">Renewal of license. </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17.5(1)</w:t>
      </w:r>
      <w:r>
        <w:rPr>
          <w:rFonts w:ascii="Times New Roman" w:hAnsi="Times New Roman"/>
          <w:b w:val="false"/>
          <w:i w:val="false"/>
          <w:color w:val="000000"/>
          <w:sz w:val="22"/>
        </w:rPr>
        <w:t> </w:t>
      </w:r>
      <w:r>
        <w:rPr>
          <w:rFonts w:ascii="Times New Roman" w:hAnsi="Times New Roman"/>
          <w:b w:val="false"/>
          <w:i w:val="false"/>
          <w:color w:val="000000"/>
          <w:sz w:val="22"/>
        </w:rPr>
        <w:t>A licensee must renew a license before the expiration date of the license to remain authorized to conduct delayed deposit transactions. Licenses expire on the next December 31 after they are issued, but licenses granted on or after November 1 but before January 1 do not expire until December 31 of the following year.</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17.5(2)</w:t>
      </w:r>
      <w:r>
        <w:rPr>
          <w:rFonts w:ascii="Times New Roman" w:hAnsi="Times New Roman"/>
          <w:b w:val="false"/>
          <w:i w:val="false"/>
          <w:color w:val="000000"/>
          <w:sz w:val="22"/>
        </w:rPr>
        <w:t> </w:t>
      </w:r>
      <w:r>
        <w:rPr>
          <w:rFonts w:ascii="Times New Roman" w:hAnsi="Times New Roman"/>
          <w:b w:val="false"/>
          <w:i w:val="false"/>
          <w:color w:val="000000"/>
          <w:sz w:val="22"/>
        </w:rPr>
        <w:t>An application to renew a license shall be submitted to the superintendent, on the form provided and with the information requested, including any material change to information contained in the original application, through the NMLS by December 1 of the year of expiration.</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17.5(3)</w:t>
      </w:r>
      <w:r>
        <w:rPr>
          <w:rFonts w:ascii="Times New Roman" w:hAnsi="Times New Roman"/>
          <w:b w:val="false"/>
          <w:i w:val="false"/>
          <w:color w:val="000000"/>
          <w:sz w:val="22"/>
        </w:rPr>
        <w:t> </w:t>
      </w:r>
      <w:r>
        <w:rPr>
          <w:rFonts w:ascii="Times New Roman" w:hAnsi="Times New Roman"/>
          <w:b w:val="false"/>
          <w:i w:val="false"/>
          <w:color w:val="000000"/>
          <w:sz w:val="22"/>
        </w:rPr>
        <w:t>The superintendent shall grant an application to renew a license if:</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val="false"/>
          <w:color w:val="000000"/>
          <w:sz w:val="22"/>
        </w:rPr>
        <w:t>The licensee submits the application and the appropriate renewal fee by December 1, or the licensee submits the application after December 1 but before January 1 and pays the appropriate renewal fee and the appropriate late fee;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val="false"/>
          <w:color w:val="000000"/>
          <w:sz w:val="22"/>
        </w:rPr>
        <w:t>The application is fully completed and includes all necessary information; and</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c.</w:t>
      </w:r>
      <w:r>
        <w:rPr>
          <w:rFonts w:ascii="Times New Roman" w:hAnsi="Times New Roman"/>
          <w:b w:val="false"/>
          <w:i w:val="false"/>
          <w:color w:val="000000"/>
          <w:sz w:val="22"/>
        </w:rPr>
        <w:t>  </w:t>
      </w:r>
      <w:r>
        <w:rPr>
          <w:rFonts w:ascii="Times New Roman" w:hAnsi="Times New Roman"/>
          <w:b w:val="false"/>
          <w:i w:val="false"/>
          <w:color w:val="000000"/>
          <w:sz w:val="22"/>
        </w:rPr>
        <w:t>The application does not reveal grounds to deny a license.</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17.5(4)</w:t>
      </w:r>
      <w:r>
        <w:rPr>
          <w:rFonts w:ascii="Times New Roman" w:hAnsi="Times New Roman"/>
          <w:b w:val="false"/>
          <w:i w:val="false"/>
          <w:color w:val="000000"/>
          <w:sz w:val="22"/>
        </w:rPr>
        <w:t> </w:t>
      </w:r>
      <w:r>
        <w:rPr>
          <w:rFonts w:ascii="Times New Roman" w:hAnsi="Times New Roman"/>
          <w:b w:val="false"/>
          <w:i w:val="false"/>
          <w:color w:val="000000"/>
          <w:sz w:val="22"/>
        </w:rPr>
        <w:t>The superintendent may reject for processing a renewal application submitted after December 31 or treat such an application as an application for a new license.</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0589D</w:t>
      </w:r>
      <w:r>
        <w:rPr>
          <w:rFonts w:ascii="Times New Roman" w:hAnsi="Times New Roman"/>
          <w:b w:val="false"/>
          <w:i w:val="false"/>
          <w:color w:val="000000"/>
          <w:sz w:val="16"/>
        </w:rPr>
        <w:t>, IAB 9/16/26, effective 10/21/26</w:t>
      </w:r>
      <w:r>
        <w:rPr>
          <w:rFonts w:ascii="Times New Roman" w:hAnsi="Times New Roman"/>
          <w:b w:val="false"/>
          <w:i w:val="false"/>
          <w:color w:val="000000"/>
          <w:sz w:val="16"/>
        </w:rPr>
        <w:t>]</w:t>
      </w:r>
    </w:p>
    <w:p>
      <w:pPr>
        <w:spacing w:before="0" w:after="0"/>
        <w:ind w:left="120"/>
        <w:jc w:val="both"/>
      </w:pPr>
      <w:r>
        <w:rPr>
          <w:rFonts w:ascii="Times New Roman" w:hAnsi="Times New Roman"/>
          <w:b/>
          <w:i w:val="false"/>
          <w:color w:val="000000"/>
          <w:sz w:val="22"/>
        </w:rPr>
        <w:t>187—17.6</w:t>
      </w:r>
      <w:r>
        <w:rPr>
          <w:rFonts w:ascii="Times New Roman" w:hAnsi="Times New Roman"/>
          <w:b/>
          <w:i w:val="false"/>
          <w:color w:val="000000"/>
          <w:sz w:val="22"/>
        </w:rPr>
        <w:t xml:space="preserve">(17A,533D) </w:t>
      </w:r>
      <w:r>
        <w:rPr>
          <w:rFonts w:ascii="Times New Roman" w:hAnsi="Times New Roman"/>
          <w:b/>
          <w:i w:val="false"/>
          <w:color w:val="000000"/>
          <w:sz w:val="22"/>
        </w:rPr>
        <w:t xml:space="preserve">Changes in the licensee’s name, location, or control. </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17.6(1)</w:t>
      </w:r>
      <w:r>
        <w:rPr>
          <w:rFonts w:ascii="Times New Roman" w:hAnsi="Times New Roman"/>
          <w:b w:val="false"/>
          <w:i w:val="false"/>
          <w:color w:val="000000"/>
          <w:sz w:val="22"/>
        </w:rPr>
        <w:t> </w:t>
      </w:r>
      <w:r>
        <w:rPr>
          <w:rFonts w:ascii="Times New Roman" w:hAnsi="Times New Roman"/>
          <w:b w:val="false"/>
          <w:i w:val="false"/>
          <w:color w:val="000000"/>
          <w:sz w:val="22"/>
        </w:rPr>
        <w:t xml:space="preserve">A licensee wishing to change the name or location of a delayed deposit services business shall notify the superintendent at least 30 days prior to the requested change and submit the fee specified in Iowa Code sections </w:t>
      </w:r>
      <w:hyperlink r:id="rId12">
        <w:r>
          <w:rPr>
            <w:rStyle w:val="Hyperlink"/>
            <w:rFonts w:ascii="Times New Roman" w:hAnsi="Times New Roman"/>
            <w:b w:val="false"/>
            <w:i w:val="false"/>
            <w:color w:val="000000"/>
            <w:sz w:val="22"/>
          </w:rPr>
          <w:t>533D.7</w:t>
        </w:r>
      </w:hyperlink>
      <w:r>
        <w:rPr>
          <w:rFonts w:ascii="Times New Roman" w:hAnsi="Times New Roman"/>
          <w:b w:val="false"/>
          <w:i w:val="false"/>
          <w:color w:val="000000"/>
          <w:sz w:val="22"/>
        </w:rPr>
        <w:t xml:space="preserve"> and </w:t>
      </w:r>
      <w:hyperlink r:id="rId13">
        <w:r>
          <w:rPr>
            <w:rStyle w:val="Hyperlink"/>
            <w:rFonts w:ascii="Times New Roman" w:hAnsi="Times New Roman"/>
            <w:b w:val="false"/>
            <w:i w:val="false"/>
            <w:color w:val="000000"/>
            <w:sz w:val="22"/>
          </w:rPr>
          <w:t>533D.7A</w:t>
        </w:r>
      </w:hyperlink>
      <w:r>
        <w:rPr>
          <w:rFonts w:ascii="Times New Roman" w:hAnsi="Times New Roman"/>
          <w:b w:val="false"/>
          <w:i w:val="false"/>
          <w:color w:val="000000"/>
          <w:sz w:val="22"/>
        </w:rPr>
        <w:t>. The request shall include proof that the licensee has either obtained a new bond or amended the existing bond to reflect the new name or location. A licensee cannot enter into delayed deposit transactions under a different name without providing such notice and submitting the required fee.</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17.6(2)</w:t>
      </w:r>
      <w:r>
        <w:rPr>
          <w:rFonts w:ascii="Times New Roman" w:hAnsi="Times New Roman"/>
          <w:b w:val="false"/>
          <w:i w:val="false"/>
          <w:color w:val="000000"/>
          <w:sz w:val="22"/>
        </w:rPr>
        <w:t> </w:t>
      </w:r>
      <w:r>
        <w:rPr>
          <w:rFonts w:ascii="Times New Roman" w:hAnsi="Times New Roman"/>
          <w:b w:val="false"/>
          <w:i w:val="false"/>
          <w:color w:val="000000"/>
          <w:sz w:val="22"/>
        </w:rPr>
        <w:t xml:space="preserve">A licensee wishing to establish a branch office must submit the application to the superintendent, on the form provided and with the information requested, through the NMLS, along with the fee specified in Iowa Code section </w:t>
      </w:r>
      <w:hyperlink r:id="rId14">
        <w:r>
          <w:rPr>
            <w:rStyle w:val="Hyperlink"/>
            <w:rFonts w:ascii="Times New Roman" w:hAnsi="Times New Roman"/>
            <w:b w:val="false"/>
            <w:i w:val="false"/>
            <w:color w:val="000000"/>
            <w:sz w:val="22"/>
          </w:rPr>
          <w:t>533D.7</w:t>
        </w:r>
      </w:hyperlink>
      <w:r>
        <w:rPr>
          <w:rFonts w:ascii="Times New Roman" w:hAnsi="Times New Roman"/>
          <w:b w:val="false"/>
          <w:i w:val="false"/>
          <w:color w:val="000000"/>
          <w:sz w:val="22"/>
        </w:rPr>
        <w:t xml:space="preserve">. Licenses issued to branch offices are treated as independent licenses and are subject to the renewal requirements, fees, and procedures specified in rule </w:t>
      </w:r>
      <w:hyperlink r:id="rId15">
        <w:r>
          <w:rPr>
            <w:rStyle w:val="Hyperlink"/>
            <w:rFonts w:ascii="Times New Roman" w:hAnsi="Times New Roman"/>
            <w:b w:val="false"/>
            <w:i w:val="false"/>
            <w:color w:val="000000"/>
            <w:sz w:val="22"/>
          </w:rPr>
          <w:t>187—17.5</w:t>
        </w:r>
      </w:hyperlink>
      <w:r>
        <w:rPr>
          <w:rFonts w:ascii="Times New Roman" w:hAnsi="Times New Roman"/>
          <w:b w:val="false"/>
          <w:i w:val="false"/>
          <w:color w:val="000000"/>
          <w:sz w:val="22"/>
        </w:rPr>
        <w:t>(17A,533D).</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17.6(3)</w:t>
      </w:r>
      <w:r>
        <w:rPr>
          <w:rFonts w:ascii="Times New Roman" w:hAnsi="Times New Roman"/>
          <w:b w:val="false"/>
          <w:i w:val="false"/>
          <w:color w:val="000000"/>
          <w:sz w:val="22"/>
        </w:rPr>
        <w:t> </w:t>
      </w:r>
      <w:r>
        <w:rPr>
          <w:rFonts w:ascii="Times New Roman" w:hAnsi="Times New Roman"/>
          <w:b w:val="false"/>
          <w:i w:val="false"/>
          <w:color w:val="000000"/>
          <w:sz w:val="22"/>
        </w:rPr>
        <w:t xml:space="preserve">When change of control of a licensee is proposed, the party that will assume control of the licensee shall give notice to the superintendent at least 60 days before the proposed change will take effect. The party that will assume control of the licensee shall furnish the superintendent with the same information required of initial applicants for a license, along with the fee specified in Iowa Code sections </w:t>
      </w:r>
      <w:hyperlink r:id="rId16">
        <w:r>
          <w:rPr>
            <w:rStyle w:val="Hyperlink"/>
            <w:rFonts w:ascii="Times New Roman" w:hAnsi="Times New Roman"/>
            <w:b w:val="false"/>
            <w:i w:val="false"/>
            <w:color w:val="000000"/>
            <w:sz w:val="22"/>
          </w:rPr>
          <w:t>533D.6</w:t>
        </w:r>
      </w:hyperlink>
      <w:r>
        <w:rPr>
          <w:rFonts w:ascii="Times New Roman" w:hAnsi="Times New Roman"/>
          <w:b w:val="false"/>
          <w:i w:val="false"/>
          <w:color w:val="000000"/>
          <w:sz w:val="22"/>
        </w:rPr>
        <w:t xml:space="preserve">. The party that will assume control may be required to provide fingerprints, authorize a fingerprint background check through NMLS, and pay the appropriate fees for the purpose of conducting a national criminal history background check through the Federal Bureau of Investigation. The superintendent shall approve or deny the request in accordance with the provisions of Iowa Code section </w:t>
      </w:r>
      <w:hyperlink r:id="rId17">
        <w:r>
          <w:rPr>
            <w:rStyle w:val="Hyperlink"/>
            <w:rFonts w:ascii="Times New Roman" w:hAnsi="Times New Roman"/>
            <w:b w:val="false"/>
            <w:i w:val="false"/>
            <w:color w:val="000000"/>
            <w:sz w:val="22"/>
          </w:rPr>
          <w:t>533D.3</w:t>
        </w:r>
      </w:hyperlink>
      <w:r>
        <w:rPr>
          <w:rFonts w:ascii="Times New Roman" w:hAnsi="Times New Roman"/>
          <w:b w:val="false"/>
          <w:i w:val="false"/>
          <w:color w:val="000000"/>
          <w:sz w:val="22"/>
        </w:rPr>
        <w:t xml:space="preserve"> and rule </w:t>
      </w:r>
      <w:hyperlink r:id="rId18">
        <w:r>
          <w:rPr>
            <w:rStyle w:val="Hyperlink"/>
            <w:rFonts w:ascii="Times New Roman" w:hAnsi="Times New Roman"/>
            <w:b w:val="false"/>
            <w:i w:val="false"/>
            <w:color w:val="000000"/>
            <w:sz w:val="22"/>
          </w:rPr>
          <w:t>187—17.4</w:t>
        </w:r>
      </w:hyperlink>
      <w:r>
        <w:rPr>
          <w:rFonts w:ascii="Times New Roman" w:hAnsi="Times New Roman"/>
          <w:b w:val="false"/>
          <w:i w:val="false"/>
          <w:color w:val="000000"/>
          <w:sz w:val="22"/>
        </w:rPr>
        <w:t>(17A,533D).</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0589D</w:t>
      </w:r>
      <w:r>
        <w:rPr>
          <w:rFonts w:ascii="Times New Roman" w:hAnsi="Times New Roman"/>
          <w:b w:val="false"/>
          <w:i w:val="false"/>
          <w:color w:val="000000"/>
          <w:sz w:val="16"/>
        </w:rPr>
        <w:t>, IAB 9/16/26, effective 10/21/26</w:t>
      </w:r>
      <w:r>
        <w:rPr>
          <w:rFonts w:ascii="Times New Roman" w:hAnsi="Times New Roman"/>
          <w:b w:val="false"/>
          <w:i w:val="false"/>
          <w:color w:val="000000"/>
          <w:sz w:val="16"/>
        </w:rPr>
        <w:t>]</w:t>
      </w:r>
    </w:p>
    <w:p>
      <w:pPr>
        <w:spacing w:before="210" w:after="0"/>
        <w:ind w:left="120"/>
        <w:jc w:val="both"/>
      </w:pPr>
      <w:r>
        <w:rPr>
          <w:rFonts w:ascii="Times New Roman" w:hAnsi="Times New Roman"/>
          <w:b/>
          <w:i w:val="false"/>
          <w:color w:val="000000"/>
          <w:sz w:val="22"/>
        </w:rPr>
        <w:t>187—17.7</w:t>
      </w:r>
      <w:r>
        <w:rPr>
          <w:rFonts w:ascii="Times New Roman" w:hAnsi="Times New Roman"/>
          <w:b w:val="false"/>
          <w:i w:val="false"/>
          <w:color w:val="000000"/>
          <w:sz w:val="22"/>
        </w:rPr>
        <w:t>Reserved.</w:t>
      </w:r>
    </w:p>
    <w:p>
      <w:pPr>
        <w:spacing w:before="0" w:after="0"/>
        <w:ind w:left="120"/>
        <w:jc w:val="both"/>
      </w:pPr>
      <w:r>
        <w:rPr>
          <w:rFonts w:ascii="Times New Roman" w:hAnsi="Times New Roman"/>
          <w:b/>
          <w:i w:val="false"/>
          <w:color w:val="000000"/>
          <w:sz w:val="22"/>
        </w:rPr>
        <w:t>187—17.8</w:t>
      </w:r>
      <w:r>
        <w:rPr>
          <w:rFonts w:ascii="Times New Roman" w:hAnsi="Times New Roman"/>
          <w:b/>
          <w:i w:val="false"/>
          <w:color w:val="000000"/>
          <w:sz w:val="22"/>
        </w:rPr>
        <w:t xml:space="preserve">(17A,533D) </w:t>
      </w:r>
      <w:r>
        <w:rPr>
          <w:rFonts w:ascii="Times New Roman" w:hAnsi="Times New Roman"/>
          <w:b/>
          <w:i w:val="false"/>
          <w:color w:val="000000"/>
          <w:sz w:val="22"/>
        </w:rPr>
        <w:t xml:space="preserve">Administrative fees. </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17.8(1)</w:t>
      </w:r>
      <w:r>
        <w:rPr>
          <w:rFonts w:ascii="Times New Roman" w:hAnsi="Times New Roman"/>
          <w:b w:val="false"/>
          <w:i w:val="false"/>
          <w:color w:val="000000"/>
          <w:sz w:val="22"/>
        </w:rPr>
        <w:t> </w:t>
      </w:r>
      <w:r>
        <w:rPr>
          <w:rFonts w:ascii="Times New Roman" w:hAnsi="Times New Roman"/>
          <w:b w:val="false"/>
          <w:i/>
          <w:color w:val="000000"/>
          <w:sz w:val="22"/>
        </w:rPr>
        <w:t xml:space="preserve">Late fees for failing to respond. </w:t>
      </w:r>
      <w:r>
        <w:rPr>
          <w:rFonts w:ascii="Times New Roman" w:hAnsi="Times New Roman"/>
          <w:b w:val="false"/>
          <w:i w:val="false"/>
          <w:color w:val="000000"/>
          <w:sz w:val="22"/>
        </w:rPr>
        <w:t>In the process of administering this chapter, the superintendent may require a person to provide responses to formal orders, examinations, or complaint inquiries. If a person fails to respond within 30 days of the request, the superintendent may assess a penalty of $10 per day after the initial 30 days.</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17.8(2)</w:t>
      </w:r>
      <w:r>
        <w:rPr>
          <w:rFonts w:ascii="Times New Roman" w:hAnsi="Times New Roman"/>
          <w:b w:val="false"/>
          <w:i w:val="false"/>
          <w:color w:val="000000"/>
          <w:sz w:val="22"/>
        </w:rPr>
        <w:t> </w:t>
      </w:r>
      <w:r>
        <w:rPr>
          <w:rFonts w:ascii="Times New Roman" w:hAnsi="Times New Roman"/>
          <w:b w:val="false"/>
          <w:i/>
          <w:color w:val="000000"/>
          <w:sz w:val="22"/>
        </w:rPr>
        <w:t xml:space="preserve">NMLS system processing fees. </w:t>
      </w:r>
      <w:r>
        <w:rPr>
          <w:rFonts w:ascii="Times New Roman" w:hAnsi="Times New Roman"/>
          <w:b w:val="false"/>
          <w:i w:val="false"/>
          <w:color w:val="000000"/>
          <w:sz w:val="22"/>
        </w:rPr>
        <w:t xml:space="preserve">The applicant or licensee shall pay any fee required by the NMLS or attributed to the licensee’s record in the NMLS pursuant to rule </w:t>
      </w:r>
      <w:hyperlink r:id="rId19">
        <w:r>
          <w:rPr>
            <w:rStyle w:val="Hyperlink"/>
            <w:rFonts w:ascii="Times New Roman" w:hAnsi="Times New Roman"/>
            <w:b w:val="false"/>
            <w:i w:val="false"/>
            <w:color w:val="000000"/>
            <w:sz w:val="22"/>
          </w:rPr>
          <w:t>187—17.2</w:t>
        </w:r>
      </w:hyperlink>
      <w:r>
        <w:rPr>
          <w:rFonts w:ascii="Times New Roman" w:hAnsi="Times New Roman"/>
          <w:b w:val="false"/>
          <w:i w:val="false"/>
          <w:color w:val="000000"/>
          <w:sz w:val="22"/>
        </w:rPr>
        <w:t>(17A,533D).</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0589D</w:t>
      </w:r>
      <w:r>
        <w:rPr>
          <w:rFonts w:ascii="Times New Roman" w:hAnsi="Times New Roman"/>
          <w:b w:val="false"/>
          <w:i w:val="false"/>
          <w:color w:val="000000"/>
          <w:sz w:val="16"/>
        </w:rPr>
        <w:t>, IAB 9/16/26, effective 10/21/26</w:t>
      </w:r>
      <w:r>
        <w:rPr>
          <w:rFonts w:ascii="Times New Roman" w:hAnsi="Times New Roman"/>
          <w:b w:val="false"/>
          <w:i w:val="false"/>
          <w:color w:val="000000"/>
          <w:sz w:val="16"/>
        </w:rPr>
        <w:t>]</w:t>
      </w:r>
    </w:p>
    <w:p>
      <w:pPr>
        <w:spacing w:before="0" w:after="0"/>
        <w:ind w:left="120"/>
        <w:jc w:val="both"/>
      </w:pPr>
      <w:r>
        <w:rPr>
          <w:rFonts w:ascii="Times New Roman" w:hAnsi="Times New Roman"/>
          <w:b/>
          <w:i w:val="false"/>
          <w:color w:val="000000"/>
          <w:sz w:val="22"/>
        </w:rPr>
        <w:t>187—17.9</w:t>
      </w:r>
      <w:r>
        <w:rPr>
          <w:rFonts w:ascii="Times New Roman" w:hAnsi="Times New Roman"/>
          <w:b/>
          <w:i w:val="false"/>
          <w:color w:val="000000"/>
          <w:sz w:val="22"/>
        </w:rPr>
        <w:t xml:space="preserve">(17A,533D) </w:t>
      </w:r>
      <w:r>
        <w:rPr>
          <w:rFonts w:ascii="Times New Roman" w:hAnsi="Times New Roman"/>
          <w:b/>
          <w:i w:val="false"/>
          <w:color w:val="000000"/>
          <w:sz w:val="22"/>
        </w:rPr>
        <w:t xml:space="preserve">Licensee records. </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17.9(1)</w:t>
      </w:r>
      <w:r>
        <w:rPr>
          <w:rFonts w:ascii="Times New Roman" w:hAnsi="Times New Roman"/>
          <w:b w:val="false"/>
          <w:i w:val="false"/>
          <w:color w:val="000000"/>
          <w:sz w:val="22"/>
        </w:rPr>
        <w:t> </w:t>
      </w:r>
      <w:r>
        <w:rPr>
          <w:rFonts w:ascii="Times New Roman" w:hAnsi="Times New Roman"/>
          <w:b w:val="false"/>
          <w:i/>
          <w:color w:val="000000"/>
          <w:sz w:val="22"/>
        </w:rPr>
        <w:t xml:space="preserve">General record requirements. </w:t>
      </w:r>
      <w:r>
        <w:rPr>
          <w:rFonts w:ascii="Times New Roman" w:hAnsi="Times New Roman"/>
          <w:b w:val="false"/>
          <w:i w:val="false"/>
          <w:color w:val="000000"/>
          <w:sz w:val="22"/>
        </w:rPr>
        <w:t>A licensee must keep records that allow the superintendent to determine the licensee’s compliance with relevant statutes and regulations.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val="false"/>
          <w:color w:val="000000"/>
          <w:sz w:val="22"/>
        </w:rPr>
        <w:t>The licensee may keep the records as a hard copy or in an electronic equivalent.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val="false"/>
          <w:color w:val="000000"/>
          <w:sz w:val="22"/>
        </w:rPr>
        <w:t>The licensee shall keep records for at least 24 months from the date of the final transaction with the maker.</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c.</w:t>
      </w:r>
      <w:r>
        <w:rPr>
          <w:rFonts w:ascii="Times New Roman" w:hAnsi="Times New Roman"/>
          <w:b w:val="false"/>
          <w:i w:val="false"/>
          <w:color w:val="000000"/>
          <w:sz w:val="22"/>
        </w:rPr>
        <w:t>  </w:t>
      </w:r>
      <w:r>
        <w:rPr>
          <w:rFonts w:ascii="Times New Roman" w:hAnsi="Times New Roman"/>
          <w:b w:val="false"/>
          <w:i w:val="false"/>
          <w:color w:val="000000"/>
          <w:sz w:val="22"/>
        </w:rPr>
        <w:t>The licensee shall maintain all books and records in good order and produce books and records for the superintendent upon request.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d.</w:t>
      </w:r>
      <w:r>
        <w:rPr>
          <w:rFonts w:ascii="Times New Roman" w:hAnsi="Times New Roman"/>
          <w:b w:val="false"/>
          <w:i w:val="false"/>
          <w:color w:val="000000"/>
          <w:sz w:val="22"/>
        </w:rPr>
        <w:t>  </w:t>
      </w:r>
      <w:r>
        <w:rPr>
          <w:rFonts w:ascii="Times New Roman" w:hAnsi="Times New Roman"/>
          <w:b w:val="false"/>
          <w:i w:val="false"/>
          <w:color w:val="000000"/>
          <w:sz w:val="22"/>
        </w:rPr>
        <w:t>The obligation to maintain records continues even after the licensee ceases business operations in Iowa and turns in or surrenders its license. The owners and directors of the licensee are responsible for ensuring that this requirement is met.</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17.9(2)</w:t>
      </w:r>
      <w:r>
        <w:rPr>
          <w:rFonts w:ascii="Times New Roman" w:hAnsi="Times New Roman"/>
          <w:b w:val="false"/>
          <w:i w:val="false"/>
          <w:color w:val="000000"/>
          <w:sz w:val="22"/>
        </w:rPr>
        <w:t> </w:t>
      </w:r>
      <w:r>
        <w:rPr>
          <w:rFonts w:ascii="Times New Roman" w:hAnsi="Times New Roman"/>
          <w:b w:val="false"/>
          <w:i/>
          <w:color w:val="000000"/>
          <w:sz w:val="22"/>
        </w:rPr>
        <w:t xml:space="preserve">Required records. </w:t>
      </w:r>
      <w:r>
        <w:rPr>
          <w:rFonts w:ascii="Times New Roman" w:hAnsi="Times New Roman"/>
          <w:b w:val="false"/>
          <w:i w:val="false"/>
          <w:color w:val="000000"/>
          <w:sz w:val="22"/>
        </w:rPr>
        <w:t>A licensee shall keep, at its principal place of business, a transaction register, an account ledger, a transaction file, an index, an application log, a denial file, and a disbursement voucher.</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17.9(3)</w:t>
      </w:r>
      <w:r>
        <w:rPr>
          <w:rFonts w:ascii="Times New Roman" w:hAnsi="Times New Roman"/>
          <w:b w:val="false"/>
          <w:i w:val="false"/>
          <w:color w:val="000000"/>
          <w:sz w:val="22"/>
        </w:rPr>
        <w:t> </w:t>
      </w:r>
      <w:r>
        <w:rPr>
          <w:rFonts w:ascii="Times New Roman" w:hAnsi="Times New Roman"/>
          <w:b w:val="false"/>
          <w:i/>
          <w:color w:val="000000"/>
          <w:sz w:val="22"/>
        </w:rPr>
        <w:t xml:space="preserve">Transaction register. </w:t>
      </w:r>
      <w:r>
        <w:rPr>
          <w:rFonts w:ascii="Times New Roman" w:hAnsi="Times New Roman"/>
          <w:b w:val="false"/>
          <w:i w:val="false"/>
          <w:color w:val="000000"/>
          <w:sz w:val="22"/>
        </w:rPr>
        <w:t>The transaction register shall be kept chronologically in the order the transactions closed and include the following information for every transaction that is made: the account number, the date of the transaction, the name of the maker, the amount financed, and the amount of the maker’s check. A licensee may combine the transaction register with the application log.</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17.9(4)</w:t>
      </w:r>
      <w:r>
        <w:rPr>
          <w:rFonts w:ascii="Times New Roman" w:hAnsi="Times New Roman"/>
          <w:b w:val="false"/>
          <w:i w:val="false"/>
          <w:color w:val="000000"/>
          <w:sz w:val="22"/>
        </w:rPr>
        <w:t> </w:t>
      </w:r>
      <w:r>
        <w:rPr>
          <w:rFonts w:ascii="Times New Roman" w:hAnsi="Times New Roman"/>
          <w:b w:val="false"/>
          <w:i/>
          <w:color w:val="000000"/>
          <w:sz w:val="22"/>
        </w:rPr>
        <w:t xml:space="preserve">Account ledger. </w:t>
      </w:r>
      <w:r>
        <w:rPr>
          <w:rFonts w:ascii="Times New Roman" w:hAnsi="Times New Roman"/>
          <w:b w:val="false"/>
          <w:i w:val="false"/>
          <w:color w:val="000000"/>
          <w:sz w:val="22"/>
        </w:rPr>
        <w:t>A licensee shall maintain an account ledger for each maker showing:</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val="false"/>
          <w:color w:val="000000"/>
          <w:sz w:val="22"/>
        </w:rPr>
        <w:t>The name and address of the maker, the transaction number, the transaction date, the maturity date, the payment terms, the amount financed, and the total of payments.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val="false"/>
          <w:color w:val="000000"/>
          <w:sz w:val="22"/>
        </w:rPr>
        <w:t>A transaction history that lists all transactions with the maker. Payments shall be posted to the account ledger effective the date payments were received and show the date payment was received, the total amount of the payment, and a description of how the payment was applied to the maker’s account. Other transactions shall be fully described. Corrections to the transaction history shall be made by corrective entry and not by erasure.</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17.9(5)</w:t>
      </w:r>
      <w:r>
        <w:rPr>
          <w:rFonts w:ascii="Times New Roman" w:hAnsi="Times New Roman"/>
          <w:b w:val="false"/>
          <w:i w:val="false"/>
          <w:color w:val="000000"/>
          <w:sz w:val="22"/>
        </w:rPr>
        <w:t> </w:t>
      </w:r>
      <w:r>
        <w:rPr>
          <w:rFonts w:ascii="Times New Roman" w:hAnsi="Times New Roman"/>
          <w:b w:val="false"/>
          <w:i/>
          <w:color w:val="000000"/>
          <w:sz w:val="22"/>
        </w:rPr>
        <w:t xml:space="preserve">Transaction file. </w:t>
      </w:r>
      <w:r>
        <w:rPr>
          <w:rFonts w:ascii="Times New Roman" w:hAnsi="Times New Roman"/>
          <w:b w:val="false"/>
          <w:i w:val="false"/>
          <w:color w:val="000000"/>
          <w:sz w:val="22"/>
        </w:rPr>
        <w:t xml:space="preserve">The transaction file consists of the application, the transaction agreement, notice pursuant to Iowa Code section </w:t>
      </w:r>
      <w:hyperlink r:id="rId20">
        <w:r>
          <w:rPr>
            <w:rStyle w:val="Hyperlink"/>
            <w:rFonts w:ascii="Times New Roman" w:hAnsi="Times New Roman"/>
            <w:b w:val="false"/>
            <w:i w:val="false"/>
            <w:color w:val="000000"/>
            <w:sz w:val="22"/>
          </w:rPr>
          <w:t>533D.9(2)</w:t>
        </w:r>
      </w:hyperlink>
      <w:r>
        <w:rPr>
          <w:rFonts w:ascii="Times New Roman" w:hAnsi="Times New Roman"/>
          <w:b w:val="false"/>
          <w:i w:val="false"/>
          <w:color w:val="000000"/>
          <w:sz w:val="22"/>
        </w:rPr>
        <w:t>, and all required truth-in-lending disclosures for each transaction.</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17.9(6)</w:t>
      </w:r>
      <w:r>
        <w:rPr>
          <w:rFonts w:ascii="Times New Roman" w:hAnsi="Times New Roman"/>
          <w:b w:val="false"/>
          <w:i w:val="false"/>
          <w:color w:val="000000"/>
          <w:sz w:val="22"/>
        </w:rPr>
        <w:t> </w:t>
      </w:r>
      <w:r>
        <w:rPr>
          <w:rFonts w:ascii="Times New Roman" w:hAnsi="Times New Roman"/>
          <w:b w:val="false"/>
          <w:i/>
          <w:color w:val="000000"/>
          <w:sz w:val="22"/>
        </w:rPr>
        <w:t xml:space="preserve">Index. </w:t>
      </w:r>
      <w:r>
        <w:rPr>
          <w:rFonts w:ascii="Times New Roman" w:hAnsi="Times New Roman"/>
          <w:b w:val="false"/>
          <w:i w:val="false"/>
          <w:color w:val="000000"/>
          <w:sz w:val="22"/>
        </w:rPr>
        <w:t>An alphabetical record shall be maintained and show the name of each maker, endorser, comaker, or surety who is currently indebted to the licensee, together with sufficient information to locate the account ledger.</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17.9(7)</w:t>
      </w:r>
      <w:r>
        <w:rPr>
          <w:rFonts w:ascii="Times New Roman" w:hAnsi="Times New Roman"/>
          <w:b w:val="false"/>
          <w:i w:val="false"/>
          <w:color w:val="000000"/>
          <w:sz w:val="22"/>
        </w:rPr>
        <w:t> </w:t>
      </w:r>
      <w:r>
        <w:rPr>
          <w:rFonts w:ascii="Times New Roman" w:hAnsi="Times New Roman"/>
          <w:b w:val="false"/>
          <w:i/>
          <w:color w:val="000000"/>
          <w:sz w:val="22"/>
        </w:rPr>
        <w:t xml:space="preserve">Application log. </w:t>
      </w:r>
      <w:r>
        <w:rPr>
          <w:rFonts w:ascii="Times New Roman" w:hAnsi="Times New Roman"/>
          <w:b w:val="false"/>
          <w:i w:val="false"/>
          <w:color w:val="000000"/>
          <w:sz w:val="22"/>
        </w:rPr>
        <w:t>The application log is a chronological list of applications received. The application log shall include the name of the applicant, the date the application was received, whether the transaction was made or denied, and the date when the transaction was made or denied if that date differs from the date when the licensee received the application. For approved applications, the application log shall show the date when the transaction closed and the name of the maker. For recordkeeping purposes, an application is a prospective maker’s oral or written request for a licensee to extend credit that is made in accordance with the procedures established by the licensee.</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17.9(8)</w:t>
      </w:r>
      <w:r>
        <w:rPr>
          <w:rFonts w:ascii="Times New Roman" w:hAnsi="Times New Roman"/>
          <w:b w:val="false"/>
          <w:i w:val="false"/>
          <w:color w:val="000000"/>
          <w:sz w:val="22"/>
        </w:rPr>
        <w:t> </w:t>
      </w:r>
      <w:r>
        <w:rPr>
          <w:rFonts w:ascii="Times New Roman" w:hAnsi="Times New Roman"/>
          <w:b w:val="false"/>
          <w:i/>
          <w:color w:val="000000"/>
          <w:sz w:val="22"/>
        </w:rPr>
        <w:t xml:space="preserve">Disbursement voucher. </w:t>
      </w:r>
      <w:r>
        <w:rPr>
          <w:rFonts w:ascii="Times New Roman" w:hAnsi="Times New Roman"/>
          <w:b w:val="false"/>
          <w:i w:val="false"/>
          <w:color w:val="000000"/>
          <w:sz w:val="22"/>
        </w:rPr>
        <w:t>Licensees shall use, in conjunction with each transaction, a disbursement voucher or equivalent document showing a detailed itemization of the distribution of the transaction proceeds.</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17.9(9)</w:t>
      </w:r>
      <w:r>
        <w:rPr>
          <w:rFonts w:ascii="Times New Roman" w:hAnsi="Times New Roman"/>
          <w:b w:val="false"/>
          <w:i w:val="false"/>
          <w:color w:val="000000"/>
          <w:sz w:val="22"/>
        </w:rPr>
        <w:t> </w:t>
      </w:r>
      <w:r>
        <w:rPr>
          <w:rFonts w:ascii="Times New Roman" w:hAnsi="Times New Roman"/>
          <w:b w:val="false"/>
          <w:i/>
          <w:color w:val="000000"/>
          <w:sz w:val="22"/>
        </w:rPr>
        <w:t xml:space="preserve">Denial file. </w:t>
      </w:r>
      <w:r>
        <w:rPr>
          <w:rFonts w:ascii="Times New Roman" w:hAnsi="Times New Roman"/>
          <w:b w:val="false"/>
          <w:i w:val="false"/>
          <w:color w:val="000000"/>
          <w:sz w:val="22"/>
        </w:rPr>
        <w:t>For each application the licensee denies, the licensee shall retain a copy of the application and a copy of the adverse action notice. The licensee may maintain this information in one file in either alphabetical or chronological order.</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17.9(10)</w:t>
      </w:r>
      <w:r>
        <w:rPr>
          <w:rFonts w:ascii="Times New Roman" w:hAnsi="Times New Roman"/>
          <w:b w:val="false"/>
          <w:i w:val="false"/>
          <w:color w:val="000000"/>
          <w:sz w:val="22"/>
        </w:rPr>
        <w:t> </w:t>
      </w:r>
      <w:r>
        <w:rPr>
          <w:rFonts w:ascii="Times New Roman" w:hAnsi="Times New Roman"/>
          <w:b w:val="false"/>
          <w:i/>
          <w:color w:val="000000"/>
          <w:sz w:val="22"/>
        </w:rPr>
        <w:t xml:space="preserve">General business records. </w:t>
      </w:r>
      <w:r>
        <w:rPr>
          <w:rFonts w:ascii="Times New Roman" w:hAnsi="Times New Roman"/>
          <w:b w:val="false"/>
          <w:i w:val="false"/>
          <w:color w:val="000000"/>
          <w:sz w:val="22"/>
        </w:rPr>
        <w:t>A licensee must keep the following general business records for at least 36 months: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val="false"/>
          <w:color w:val="000000"/>
          <w:sz w:val="22"/>
        </w:rPr>
        <w:t>All checkbooks, check registers, bank statements, deposit slips, withdrawal slips, and canceled checks (or copies thereof) relating to the delayed deposit services business of the licensee.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val="false"/>
          <w:color w:val="000000"/>
          <w:sz w:val="22"/>
        </w:rPr>
        <w:t>Complete records (including invoices and supporting documentation) for all expenses and fees paid on behalf of each transaction applicant, including a record of the date and amount of all such payments actually made by each transaction applicant.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c.</w:t>
      </w:r>
      <w:r>
        <w:rPr>
          <w:rFonts w:ascii="Times New Roman" w:hAnsi="Times New Roman"/>
          <w:b w:val="false"/>
          <w:i w:val="false"/>
          <w:color w:val="000000"/>
          <w:sz w:val="22"/>
        </w:rPr>
        <w:t>  </w:t>
      </w:r>
      <w:r>
        <w:rPr>
          <w:rFonts w:ascii="Times New Roman" w:hAnsi="Times New Roman"/>
          <w:b w:val="false"/>
          <w:i w:val="false"/>
          <w:color w:val="000000"/>
          <w:sz w:val="22"/>
        </w:rPr>
        <w:t>Copies of all federal tax withholding forms, reports of income for federal taxation, and evidence of payments to all employees, independent contractors, and others compensated by a licensee in connection with the conduct of the delayed deposit services business.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d.</w:t>
      </w:r>
      <w:r>
        <w:rPr>
          <w:rFonts w:ascii="Times New Roman" w:hAnsi="Times New Roman"/>
          <w:b w:val="false"/>
          <w:i w:val="false"/>
          <w:color w:val="000000"/>
          <w:sz w:val="22"/>
        </w:rPr>
        <w:t>  </w:t>
      </w:r>
      <w:r>
        <w:rPr>
          <w:rFonts w:ascii="Times New Roman" w:hAnsi="Times New Roman"/>
          <w:b w:val="false"/>
          <w:i w:val="false"/>
          <w:color w:val="000000"/>
          <w:sz w:val="22"/>
        </w:rPr>
        <w:t xml:space="preserve">All correspondence and other records relating to the maintenance of any surety bond required by Iowa Code chapter </w:t>
      </w:r>
      <w:hyperlink r:id="rId21">
        <w:r>
          <w:rPr>
            <w:rStyle w:val="Hyperlink"/>
            <w:rFonts w:ascii="Times New Roman" w:hAnsi="Times New Roman"/>
            <w:b w:val="false"/>
            <w:i w:val="false"/>
            <w:color w:val="000000"/>
            <w:sz w:val="22"/>
          </w:rPr>
          <w:t>533D</w:t>
        </w:r>
      </w:hyperlink>
      <w:r>
        <w:rPr>
          <w:rFonts w:ascii="Times New Roman" w:hAnsi="Times New Roman"/>
          <w:b w:val="false"/>
          <w:i w:val="false"/>
          <w:color w:val="000000"/>
          <w:sz w:val="22"/>
        </w:rPr>
        <w: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e.</w:t>
      </w:r>
      <w:r>
        <w:rPr>
          <w:rFonts w:ascii="Times New Roman" w:hAnsi="Times New Roman"/>
          <w:b w:val="false"/>
          <w:i w:val="false"/>
          <w:color w:val="000000"/>
          <w:sz w:val="22"/>
        </w:rPr>
        <w:t>  </w:t>
      </w:r>
      <w:r>
        <w:rPr>
          <w:rFonts w:ascii="Times New Roman" w:hAnsi="Times New Roman"/>
          <w:b w:val="false"/>
          <w:i w:val="false"/>
          <w:color w:val="000000"/>
          <w:sz w:val="22"/>
        </w:rPr>
        <w:t>Copies of all reports of audits, examinations, inspections, reviews, investigations, or other similar functions performed by any third party, including but not limited to the superintendent or any other regulatory or supervisory authority.</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f.</w:t>
      </w:r>
      <w:r>
        <w:rPr>
          <w:rFonts w:ascii="Times New Roman" w:hAnsi="Times New Roman"/>
          <w:b w:val="false"/>
          <w:i w:val="false"/>
          <w:color w:val="000000"/>
          <w:sz w:val="22"/>
        </w:rPr>
        <w:t>  </w:t>
      </w:r>
      <w:r>
        <w:rPr>
          <w:rFonts w:ascii="Times New Roman" w:hAnsi="Times New Roman"/>
          <w:b w:val="false"/>
          <w:i w:val="false"/>
          <w:color w:val="000000"/>
          <w:sz w:val="22"/>
        </w:rPr>
        <w:t>Copies of all advertisements and solicitations concerning delayed deposit services directed at Iowa residents, including advertisements and solicitations on the internet or by other electronic means, in the format in which the advertisements and solicitations were published or distributed.</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17.9(11)</w:t>
      </w:r>
      <w:r>
        <w:rPr>
          <w:rFonts w:ascii="Times New Roman" w:hAnsi="Times New Roman"/>
          <w:b w:val="false"/>
          <w:i w:val="false"/>
          <w:color w:val="000000"/>
          <w:sz w:val="22"/>
        </w:rPr>
        <w:t> </w:t>
      </w:r>
      <w:r>
        <w:rPr>
          <w:rFonts w:ascii="Times New Roman" w:hAnsi="Times New Roman"/>
          <w:b w:val="false"/>
          <w:i/>
          <w:color w:val="000000"/>
          <w:sz w:val="22"/>
        </w:rPr>
        <w:t xml:space="preserve">Disposal of records. </w:t>
      </w:r>
      <w:r>
        <w:rPr>
          <w:rFonts w:ascii="Times New Roman" w:hAnsi="Times New Roman"/>
          <w:b w:val="false"/>
          <w:i w:val="false"/>
          <w:color w:val="000000"/>
          <w:sz w:val="22"/>
        </w:rPr>
        <w:t xml:space="preserve">If a licensee or former licensee disposes of records at the end of the retention period, the licensee or former licensee shall dispose of the records in a reasonable manner that safeguards any identification information, as defined in Iowa Code section </w:t>
      </w:r>
      <w:hyperlink r:id="rId22">
        <w:r>
          <w:rPr>
            <w:rStyle w:val="Hyperlink"/>
            <w:rFonts w:ascii="Times New Roman" w:hAnsi="Times New Roman"/>
            <w:b w:val="false"/>
            <w:i w:val="false"/>
            <w:color w:val="000000"/>
            <w:sz w:val="22"/>
          </w:rPr>
          <w:t>715A.8(1)</w:t>
        </w:r>
      </w:hyperlink>
      <w:r>
        <w:rPr>
          <w:rFonts w:ascii="Times New Roman" w:hAnsi="Times New Roman"/>
          <w:b w:val="false"/>
          <w:i/>
          <w:color w:val="000000"/>
          <w:sz w:val="22"/>
        </w:rPr>
        <w:t>“a.”</w:t>
      </w:r>
      <w:r>
        <w:rPr>
          <w:rFonts w:ascii="Times New Roman" w:hAnsi="Times New Roman"/>
          <w:b w:val="false"/>
          <w:i w:val="false"/>
          <w:color w:val="000000"/>
          <w:sz w:val="22"/>
        </w:rPr>
        <w:t xml:space="preserve"> The owners and directors of licensees and former licensees are responsible for ensuring that this requirement is met.</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0589D</w:t>
      </w:r>
      <w:r>
        <w:rPr>
          <w:rFonts w:ascii="Times New Roman" w:hAnsi="Times New Roman"/>
          <w:b w:val="false"/>
          <w:i w:val="false"/>
          <w:color w:val="000000"/>
          <w:sz w:val="16"/>
        </w:rPr>
        <w:t>, IAB 9/16/26, effective 10/21/26</w:t>
      </w:r>
      <w:r>
        <w:rPr>
          <w:rFonts w:ascii="Times New Roman" w:hAnsi="Times New Roman"/>
          <w:b w:val="false"/>
          <w:i w:val="false"/>
          <w:color w:val="000000"/>
          <w:sz w:val="16"/>
        </w:rPr>
        <w:t>]</w:t>
      </w:r>
    </w:p>
    <w:p>
      <w:pPr>
        <w:spacing w:before="0" w:after="0"/>
        <w:ind w:left="120"/>
        <w:jc w:val="both"/>
      </w:pPr>
      <w:r>
        <w:rPr>
          <w:rFonts w:ascii="Times New Roman" w:hAnsi="Times New Roman"/>
          <w:b/>
          <w:i w:val="false"/>
          <w:color w:val="000000"/>
          <w:sz w:val="22"/>
        </w:rPr>
        <w:t>187—17.10</w:t>
      </w:r>
      <w:r>
        <w:rPr>
          <w:rFonts w:ascii="Times New Roman" w:hAnsi="Times New Roman"/>
          <w:b/>
          <w:i w:val="false"/>
          <w:color w:val="000000"/>
          <w:sz w:val="22"/>
        </w:rPr>
        <w:t xml:space="preserve">(17A,533D) </w:t>
      </w:r>
      <w:r>
        <w:rPr>
          <w:rFonts w:ascii="Times New Roman" w:hAnsi="Times New Roman"/>
          <w:b/>
          <w:i w:val="false"/>
          <w:color w:val="000000"/>
          <w:sz w:val="22"/>
        </w:rPr>
        <w:t xml:space="preserve">Complaints and investigations. </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17.10(1)</w:t>
      </w:r>
      <w:r>
        <w:rPr>
          <w:rFonts w:ascii="Times New Roman" w:hAnsi="Times New Roman"/>
          <w:b w:val="false"/>
          <w:i w:val="false"/>
          <w:color w:val="000000"/>
          <w:sz w:val="22"/>
        </w:rPr>
        <w:t> </w:t>
      </w:r>
      <w:r>
        <w:rPr>
          <w:rFonts w:ascii="Times New Roman" w:hAnsi="Times New Roman"/>
          <w:b w:val="false"/>
          <w:i w:val="false"/>
          <w:color w:val="000000"/>
          <w:sz w:val="22"/>
        </w:rPr>
        <w:t xml:space="preserve">The superintendent may, at any time and as often as the superintendent deems necessary, investigate or examine a licensee pursuant to Iowa Code section </w:t>
      </w:r>
      <w:hyperlink r:id="rId23">
        <w:r>
          <w:rPr>
            <w:rStyle w:val="Hyperlink"/>
            <w:rFonts w:ascii="Times New Roman" w:hAnsi="Times New Roman"/>
            <w:b w:val="false"/>
            <w:i w:val="false"/>
            <w:color w:val="000000"/>
            <w:sz w:val="22"/>
          </w:rPr>
          <w:t>533D.11</w:t>
        </w:r>
      </w:hyperlink>
      <w:r>
        <w:rPr>
          <w:rFonts w:ascii="Times New Roman" w:hAnsi="Times New Roman"/>
          <w:b w:val="false"/>
          <w:i w:val="false"/>
          <w:color w:val="000000"/>
          <w:sz w:val="22"/>
        </w:rPr>
        <w:t>, including investigating complaints about, or alleged violations by, any licensee.</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17.10(2)</w:t>
      </w:r>
      <w:r>
        <w:rPr>
          <w:rFonts w:ascii="Times New Roman" w:hAnsi="Times New Roman"/>
          <w:b w:val="false"/>
          <w:i w:val="false"/>
          <w:color w:val="000000"/>
          <w:sz w:val="22"/>
        </w:rPr>
        <w:t> </w:t>
      </w:r>
      <w:r>
        <w:rPr>
          <w:rFonts w:ascii="Times New Roman" w:hAnsi="Times New Roman"/>
          <w:b w:val="false"/>
          <w:i w:val="false"/>
          <w:color w:val="000000"/>
          <w:sz w:val="22"/>
        </w:rPr>
        <w:t>A complaint or alleged violation means: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val="false"/>
          <w:color w:val="000000"/>
          <w:sz w:val="22"/>
        </w:rPr>
        <w:t>A written complaint received from a consumer, member of the public, employee, business affiliate, or other governmental agency.</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val="false"/>
          <w:color w:val="000000"/>
          <w:sz w:val="22"/>
        </w:rPr>
        <w:t>Notice to the superintendent from any source that the licensee has been the subject of disciplinary proceedings in another jurisdiction.</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c.</w:t>
      </w:r>
      <w:r>
        <w:rPr>
          <w:rFonts w:ascii="Times New Roman" w:hAnsi="Times New Roman"/>
          <w:b w:val="false"/>
          <w:i w:val="false"/>
          <w:color w:val="000000"/>
          <w:sz w:val="22"/>
        </w:rPr>
        <w:t>  </w:t>
      </w:r>
      <w:r>
        <w:rPr>
          <w:rFonts w:ascii="Times New Roman" w:hAnsi="Times New Roman"/>
          <w:b w:val="false"/>
          <w:i w:val="false"/>
          <w:color w:val="000000"/>
          <w:sz w:val="22"/>
        </w:rPr>
        <w:t>Notice to the superintendent from any source that an individual with control of the licensee has been convicted of forgery, embezzlement, obtaining money under false pretenses, extortion, conspiracy to defraud, or other similar offense, in a court of competent jurisdiction in this state or in any other state, territory, or district of the United States, or in any foreign jurisdiction.</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0589D</w:t>
      </w:r>
      <w:r>
        <w:rPr>
          <w:rFonts w:ascii="Times New Roman" w:hAnsi="Times New Roman"/>
          <w:b w:val="false"/>
          <w:i w:val="false"/>
          <w:color w:val="000000"/>
          <w:sz w:val="16"/>
        </w:rPr>
        <w:t>, IAB 9/16/26, effective 10/21/26</w:t>
      </w:r>
      <w:r>
        <w:rPr>
          <w:rFonts w:ascii="Times New Roman" w:hAnsi="Times New Roman"/>
          <w:b w:val="false"/>
          <w:i w:val="false"/>
          <w:color w:val="000000"/>
          <w:sz w:val="16"/>
        </w:rPr>
        <w:t>]</w:t>
      </w:r>
    </w:p>
    <w:p>
      <w:pPr>
        <w:spacing w:before="0" w:after="0"/>
        <w:ind w:left="120"/>
        <w:jc w:val="both"/>
      </w:pPr>
      <w:r>
        <w:rPr>
          <w:rFonts w:ascii="Times New Roman" w:hAnsi="Times New Roman"/>
          <w:b/>
          <w:i w:val="false"/>
          <w:color w:val="000000"/>
          <w:sz w:val="22"/>
        </w:rPr>
        <w:t>187—17.11</w:t>
      </w:r>
      <w:r>
        <w:rPr>
          <w:rFonts w:ascii="Times New Roman" w:hAnsi="Times New Roman"/>
          <w:b/>
          <w:i w:val="false"/>
          <w:color w:val="000000"/>
          <w:sz w:val="22"/>
        </w:rPr>
        <w:t xml:space="preserve">(17A,533D) </w:t>
      </w:r>
      <w:r>
        <w:rPr>
          <w:rFonts w:ascii="Times New Roman" w:hAnsi="Times New Roman"/>
          <w:b/>
          <w:i w:val="false"/>
          <w:color w:val="000000"/>
          <w:sz w:val="22"/>
        </w:rPr>
        <w:t xml:space="preserve">Disciplinary action. </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17.11(1)</w:t>
      </w:r>
      <w:r>
        <w:rPr>
          <w:rFonts w:ascii="Times New Roman" w:hAnsi="Times New Roman"/>
          <w:b w:val="false"/>
          <w:i w:val="false"/>
          <w:color w:val="000000"/>
          <w:sz w:val="22"/>
        </w:rPr>
        <w:t> </w:t>
      </w:r>
      <w:r>
        <w:rPr>
          <w:rFonts w:ascii="Times New Roman" w:hAnsi="Times New Roman"/>
          <w:b w:val="false"/>
          <w:i w:val="false"/>
          <w:color w:val="000000"/>
          <w:sz w:val="22"/>
        </w:rPr>
        <w:t xml:space="preserve">Grounds for discipline. The superintendent may impose any of the disciplinary sanctions set out in Iowa Code section </w:t>
      </w:r>
      <w:hyperlink r:id="rId24">
        <w:r>
          <w:rPr>
            <w:rStyle w:val="Hyperlink"/>
            <w:rFonts w:ascii="Times New Roman" w:hAnsi="Times New Roman"/>
            <w:b w:val="false"/>
            <w:i w:val="false"/>
            <w:color w:val="000000"/>
            <w:sz w:val="22"/>
          </w:rPr>
          <w:t>533D.12(2)</w:t>
        </w:r>
      </w:hyperlink>
      <w:r>
        <w:rPr>
          <w:rFonts w:ascii="Times New Roman" w:hAnsi="Times New Roman"/>
          <w:b w:val="false"/>
          <w:i w:val="false"/>
          <w:color w:val="000000"/>
          <w:sz w:val="22"/>
        </w:rPr>
        <w:t xml:space="preserve"> when the superintendent makes any of the findings in Iowa Code section </w:t>
      </w:r>
      <w:hyperlink r:id="rId25">
        <w:r>
          <w:rPr>
            <w:rStyle w:val="Hyperlink"/>
            <w:rFonts w:ascii="Times New Roman" w:hAnsi="Times New Roman"/>
            <w:b w:val="false"/>
            <w:i w:val="false"/>
            <w:color w:val="000000"/>
            <w:sz w:val="22"/>
          </w:rPr>
          <w:t>533D.12(1)</w:t>
        </w:r>
      </w:hyperlink>
      <w:r>
        <w:rPr>
          <w:rFonts w:ascii="Times New Roman" w:hAnsi="Times New Roman"/>
          <w:b w:val="false"/>
          <w:i w:val="false"/>
          <w:color w:val="000000"/>
          <w:sz w:val="22"/>
        </w:rPr>
        <w:t xml:space="preserve"> or when the superintendent finds any of the following:</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val="false"/>
          <w:color w:val="000000"/>
          <w:sz w:val="22"/>
        </w:rPr>
        <w:t>The licensee is found upon investigation to be insolvent, in which case the license shall be revoked immediately.</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val="false"/>
          <w:color w:val="000000"/>
          <w:sz w:val="22"/>
        </w:rPr>
        <w:t>The licensee fails to respond to an inquiry from the superintendent within 30 days of the date the superintendent mails a written communication directed to the licensee’s last-known address on file with the superintendent.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c.</w:t>
      </w:r>
      <w:r>
        <w:rPr>
          <w:rFonts w:ascii="Times New Roman" w:hAnsi="Times New Roman"/>
          <w:b w:val="false"/>
          <w:i w:val="false"/>
          <w:color w:val="000000"/>
          <w:sz w:val="22"/>
        </w:rPr>
        <w:t>  </w:t>
      </w:r>
      <w:r>
        <w:rPr>
          <w:rFonts w:ascii="Times New Roman" w:hAnsi="Times New Roman"/>
          <w:b w:val="false"/>
          <w:i w:val="false"/>
          <w:color w:val="000000"/>
          <w:sz w:val="22"/>
        </w:rPr>
        <w:t>Another state or jurisdiction has denied, suspended, revoked, or refused to renew the licensee’s license, registration, or authorization to operate a delayed deposit services business or enter into delayed deposit transactions under the other state’s or jurisdiction’s law.</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17.11(2)</w:t>
      </w:r>
      <w:r>
        <w:rPr>
          <w:rFonts w:ascii="Times New Roman" w:hAnsi="Times New Roman"/>
          <w:b w:val="false"/>
          <w:i w:val="false"/>
          <w:color w:val="000000"/>
          <w:sz w:val="22"/>
        </w:rPr>
        <w:t> </w:t>
      </w:r>
      <w:r>
        <w:rPr>
          <w:rFonts w:ascii="Times New Roman" w:hAnsi="Times New Roman"/>
          <w:b w:val="false"/>
          <w:i w:val="false"/>
          <w:color w:val="000000"/>
          <w:sz w:val="22"/>
        </w:rPr>
        <w:t>The superintendent shall not refund a license fee, in whole or in part, of a license that has been suspended, revoked, or surrendered.</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0589D</w:t>
      </w:r>
      <w:r>
        <w:rPr>
          <w:rFonts w:ascii="Times New Roman" w:hAnsi="Times New Roman"/>
          <w:b w:val="false"/>
          <w:i w:val="false"/>
          <w:color w:val="000000"/>
          <w:sz w:val="16"/>
        </w:rPr>
        <w:t>, IAB 9/16/26, effective 10/21/26</w:t>
      </w:r>
      <w:r>
        <w:rPr>
          <w:rFonts w:ascii="Times New Roman" w:hAnsi="Times New Roman"/>
          <w:b w:val="false"/>
          <w:i w:val="false"/>
          <w:color w:val="000000"/>
          <w:sz w:val="16"/>
        </w:rPr>
        <w:t>]</w:t>
      </w:r>
    </w:p>
    <w:p>
      <w:pPr>
        <w:spacing w:before="0" w:after="0"/>
        <w:ind w:left="120"/>
        <w:jc w:val="both"/>
      </w:pPr>
      <w:r>
        <w:rPr>
          <w:rFonts w:ascii="Times New Roman" w:hAnsi="Times New Roman"/>
          <w:b/>
          <w:i w:val="false"/>
          <w:color w:val="000000"/>
          <w:sz w:val="22"/>
        </w:rPr>
        <w:t>187—17.12</w:t>
      </w:r>
      <w:r>
        <w:rPr>
          <w:rFonts w:ascii="Times New Roman" w:hAnsi="Times New Roman"/>
          <w:b/>
          <w:i w:val="false"/>
          <w:color w:val="000000"/>
          <w:sz w:val="22"/>
        </w:rPr>
        <w:t xml:space="preserve">(17A,533D) </w:t>
      </w:r>
      <w:r>
        <w:rPr>
          <w:rFonts w:ascii="Times New Roman" w:hAnsi="Times New Roman"/>
          <w:b/>
          <w:i w:val="false"/>
          <w:color w:val="000000"/>
          <w:sz w:val="22"/>
        </w:rPr>
        <w:t xml:space="preserve">Annual report. </w:t>
      </w:r>
      <w:r>
        <w:rPr>
          <w:rFonts w:ascii="Times New Roman" w:hAnsi="Times New Roman"/>
          <w:b w:val="false"/>
          <w:i w:val="false"/>
          <w:color w:val="000000"/>
          <w:sz w:val="22"/>
        </w:rPr>
        <w:t>Licensees must file with the superintendent an annual report, on forms prescribed by the superintendent, on or before April 15. The information contained in the annual report shall be confidential, and the superintendent may publish the information only in composite form. The superintendent may assess a late fee of $10 for each day the annual report is delinquent.</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0589D</w:t>
      </w:r>
      <w:r>
        <w:rPr>
          <w:rFonts w:ascii="Times New Roman" w:hAnsi="Times New Roman"/>
          <w:b w:val="false"/>
          <w:i w:val="false"/>
          <w:color w:val="000000"/>
          <w:sz w:val="16"/>
        </w:rPr>
        <w:t>, IAB 9/16/26, effective 10/21/26</w:t>
      </w:r>
      <w:r>
        <w:rPr>
          <w:rFonts w:ascii="Times New Roman" w:hAnsi="Times New Roman"/>
          <w:b w:val="false"/>
          <w:i w:val="false"/>
          <w:color w:val="000000"/>
          <w:sz w:val="16"/>
        </w:rPr>
        <w:t>]</w:t>
      </w:r>
    </w:p>
    <w:p>
      <w:pPr>
        <w:spacing w:before="0" w:after="0"/>
        <w:ind w:left="120"/>
        <w:jc w:val="both"/>
      </w:pPr>
      <w:r>
        <w:rPr>
          <w:rFonts w:ascii="Times New Roman" w:hAnsi="Times New Roman"/>
          <w:b/>
          <w:i w:val="false"/>
          <w:color w:val="000000"/>
          <w:sz w:val="22"/>
        </w:rPr>
        <w:t>187—17.13</w:t>
      </w:r>
      <w:r>
        <w:rPr>
          <w:rFonts w:ascii="Times New Roman" w:hAnsi="Times New Roman"/>
          <w:b/>
          <w:i w:val="false"/>
          <w:color w:val="000000"/>
          <w:sz w:val="22"/>
        </w:rPr>
        <w:t xml:space="preserve">(17A,533D) </w:t>
      </w:r>
      <w:r>
        <w:rPr>
          <w:rFonts w:ascii="Times New Roman" w:hAnsi="Times New Roman"/>
          <w:b/>
          <w:i w:val="false"/>
          <w:color w:val="000000"/>
          <w:sz w:val="22"/>
        </w:rPr>
        <w:t xml:space="preserve">Restrictions on making delayed deposit transactions. </w:t>
      </w:r>
      <w:r>
        <w:rPr>
          <w:rFonts w:ascii="Times New Roman" w:hAnsi="Times New Roman"/>
          <w:b w:val="false"/>
          <w:i w:val="false"/>
          <w:color w:val="000000"/>
          <w:sz w:val="22"/>
        </w:rPr>
        <w:t>A licensee shall not enter into a new delayed deposit transaction with a maker on the same day the maker pays an existing delayed deposit transaction with the licensee unless:</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17.13(1)</w:t>
      </w:r>
      <w:r>
        <w:rPr>
          <w:rFonts w:ascii="Times New Roman" w:hAnsi="Times New Roman"/>
          <w:b w:val="false"/>
          <w:i w:val="false"/>
          <w:color w:val="000000"/>
          <w:sz w:val="22"/>
        </w:rPr>
        <w:t> </w:t>
      </w:r>
      <w:r>
        <w:rPr>
          <w:rFonts w:ascii="Times New Roman" w:hAnsi="Times New Roman"/>
          <w:b w:val="false"/>
          <w:i w:val="false"/>
          <w:color w:val="000000"/>
          <w:sz w:val="22"/>
        </w:rPr>
        <w:t>The aggregate amount of the check(s) the maker is paying and the new check the maker is writing does not exceed the statutory maximum of $500; and</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17.13(2)</w:t>
      </w:r>
      <w:r>
        <w:rPr>
          <w:rFonts w:ascii="Times New Roman" w:hAnsi="Times New Roman"/>
          <w:b w:val="false"/>
          <w:i w:val="false"/>
          <w:color w:val="000000"/>
          <w:sz w:val="22"/>
        </w:rPr>
        <w:t> </w:t>
      </w:r>
      <w:r>
        <w:rPr>
          <w:rFonts w:ascii="Times New Roman" w:hAnsi="Times New Roman"/>
          <w:b w:val="false"/>
          <w:i w:val="false"/>
          <w:color w:val="000000"/>
          <w:sz w:val="22"/>
        </w:rPr>
        <w:t>The licensee does not hold more than two outstanding checks in the maker’s name, including the check(s) being paid and the new check being issued.</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0589D</w:t>
      </w:r>
      <w:r>
        <w:rPr>
          <w:rFonts w:ascii="Times New Roman" w:hAnsi="Times New Roman"/>
          <w:b w:val="false"/>
          <w:i w:val="false"/>
          <w:color w:val="000000"/>
          <w:sz w:val="16"/>
        </w:rPr>
        <w:t>, IAB 9/16/26, effective 10/21/26</w:t>
      </w:r>
      <w:r>
        <w:rPr>
          <w:rFonts w:ascii="Times New Roman" w:hAnsi="Times New Roman"/>
          <w:b w:val="false"/>
          <w:i w:val="false"/>
          <w:color w:val="000000"/>
          <w:sz w:val="16"/>
        </w:rPr>
        <w:t>]</w:t>
      </w:r>
    </w:p>
    <w:p>
      <w:pPr>
        <w:spacing w:before="0" w:after="0"/>
        <w:ind w:left="120"/>
        <w:jc w:val="both"/>
      </w:pPr>
      <w:r>
        <w:rPr>
          <w:rFonts w:ascii="Times New Roman" w:hAnsi="Times New Roman"/>
          <w:b w:val="false"/>
          <w:i w:val="false"/>
          <w:color w:val="000000"/>
          <w:sz w:val="22"/>
        </w:rPr>
        <w:t xml:space="preserve">These rules are intended to implement Iowa Code chapters </w:t>
      </w:r>
      <w:hyperlink r:id="rId26">
        <w:r>
          <w:rPr>
            <w:rStyle w:val="Hyperlink"/>
            <w:rFonts w:ascii="Times New Roman" w:hAnsi="Times New Roman"/>
            <w:b w:val="false"/>
            <w:i w:val="false"/>
            <w:color w:val="000000"/>
            <w:sz w:val="22"/>
          </w:rPr>
          <w:t>17A</w:t>
        </w:r>
      </w:hyperlink>
      <w:r>
        <w:rPr>
          <w:rFonts w:ascii="Times New Roman" w:hAnsi="Times New Roman"/>
          <w:b w:val="false"/>
          <w:i w:val="false"/>
          <w:color w:val="000000"/>
          <w:sz w:val="22"/>
        </w:rPr>
        <w:t xml:space="preserve"> and </w:t>
      </w:r>
      <w:hyperlink r:id="rId27">
        <w:r>
          <w:rPr>
            <w:rStyle w:val="Hyperlink"/>
            <w:rFonts w:ascii="Times New Roman" w:hAnsi="Times New Roman"/>
            <w:b w:val="false"/>
            <w:i w:val="false"/>
            <w:color w:val="000000"/>
            <w:sz w:val="22"/>
          </w:rPr>
          <w:t>533D</w:t>
        </w:r>
      </w:hyperlink>
      <w:r>
        <w:rPr>
          <w:rFonts w:ascii="Times New Roman" w:hAnsi="Times New Roman"/>
          <w:b w:val="false"/>
          <w:i w:val="false"/>
          <w:color w:val="000000"/>
          <w:sz w:val="22"/>
        </w:rPr>
        <w:t>.</w:t>
      </w:r>
    </w:p>
    <w:p>
      <w:pPr>
        <w:spacing w:before="0" w:after="0"/>
        <w:ind w:left="120"/>
        <w:jc w:val="center"/>
      </w:pPr>
      <w:r>
        <w:rPr>
          <w:rFonts w:ascii="Times New Roman" w:hAnsi="Times New Roman"/>
          <w:b w:val="false"/>
          <w:i w:val="false"/>
          <w:color w:val="000000"/>
          <w:sz w:val="21"/>
        </w:rPr>
        <w:t>[Filed ARC 3079C</w:t>
      </w:r>
      <w:r>
        <w:rPr>
          <w:rFonts w:ascii="Times New Roman" w:hAnsi="Times New Roman"/>
          <w:b w:val="false"/>
          <w:i w:val="false"/>
          <w:color w:val="000000"/>
          <w:sz w:val="21"/>
        </w:rPr>
        <w:t xml:space="preserve"> (Notice ARC 2992C, IAB 3/29/17)</w:t>
      </w:r>
      <w:r>
        <w:rPr>
          <w:rFonts w:ascii="Times New Roman" w:hAnsi="Times New Roman"/>
          <w:b w:val="false"/>
          <w:i w:val="false"/>
          <w:color w:val="000000"/>
          <w:sz w:val="21"/>
        </w:rPr>
        <w:t>, IAB 5/24/17, effective 7/1/17]</w:t>
      </w:r>
    </w:p>
    <w:p>
      <w:pPr>
        <w:spacing w:before="0" w:after="0"/>
        <w:ind w:left="120"/>
        <w:jc w:val="center"/>
      </w:pPr>
      <w:r>
        <w:rPr>
          <w:rFonts w:ascii="Times New Roman" w:hAnsi="Times New Roman"/>
          <w:b w:val="false"/>
          <w:i w:val="false"/>
          <w:color w:val="000000"/>
          <w:sz w:val="21"/>
        </w:rPr>
        <w:t>[Filed ARC 0589D</w:t>
      </w:r>
      <w:r>
        <w:rPr>
          <w:rFonts w:ascii="Times New Roman" w:hAnsi="Times New Roman"/>
          <w:b w:val="false"/>
          <w:i w:val="false"/>
          <w:color w:val="000000"/>
          <w:sz w:val="21"/>
        </w:rPr>
        <w:t xml:space="preserve"> (Notice ARC 0364D, IAB 6/10/26)</w:t>
      </w:r>
      <w:r>
        <w:rPr>
          <w:rFonts w:ascii="Times New Roman" w:hAnsi="Times New Roman"/>
          <w:b w:val="false"/>
          <w:i w:val="false"/>
          <w:color w:val="000000"/>
          <w:sz w:val="21"/>
        </w:rPr>
        <w:t>, IAB 9/16/26, effective 10/21/26]</w:t>
      </w:r>
    </w:p>
    <w:sectPr>
      <w:footerReference r:id="rId28"/>
      <w:pgSz w:w="11907" w:h="16839" w:code="9"/>
      <w:pgMar w:top="1440" w:right="1440" w:bottom="1440" w:left="1440"/>
    </w:sectPr>
  </w:body>
</w:document>
</file>

<file path=word/footer.xml><?xml version="1.0" encoding="utf-8"?>
<w:ftr xmlns:w="http://schemas.openxmlformats.org/wordprocessingml/2006/main" xmlns:w14="http://schemas.microsoft.com/office/word/2010/wordml" xmlns:r="http://schemas.openxmlformats.org/officeDocument/2006/relationships" xmlns:wp="http://schemas.openxmlformats.org/drawingml/2006/wordprocessingDrawing" xmlns:a="http://schemas.openxmlformats.org/drawingml/2006/main" xmlns:wp14="http://schemas.microsoft.com/office/word/2010/wordprocessingDrawing" xmlns:m="http://schemas.openxmlformats.org/officeDocument/2006/math" xmlns:w15="http://schemas.microsoft.com/office/word/2012/wordml" xmlns:mc="http://schemas.openxmlformats.org/markup-compatibility/2006" xmlns:a14="http://schemas.microsoft.com/office/drawing/2010/main" xmlns:sl="http://schemas.openxmlformats.org/schemaLibrary/2006/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w:tbl>
    <w:tblPr>
      <w:tblW w:w="0" w:type="auto"/>
      <w:tblCellSpacing w:w="20" w:type="dxa"/>
      <w:tblBorders>
        <w:top w:val="none"/>
        <w:left w:val="none"/>
        <w:bottom w:val="none"/>
        <w:right w:val="none"/>
        <w:insideH w:val="none"/>
        <w:insideV w:val="none"/>
      </w:tblBorders>
    </w:tblPr>
    <w:tblGrid>
      <w:gridCol w:w="672"/>
      <w:gridCol w:w="672"/>
      <w:gridCol w:w="9523"/>
    </w:tblGrid>
    <w:tr>
      <w:trPr>
        <w:trHeight w:val="285" w:hRule="atLeast"/>
      </w:trPr>
      <w:tc>
        <w:tcPr>
          <w:tcW w:w="672" w:type="dxa"/>
          <w:tcBorders/>
          <w:tcMar>
            <w:top w:w="15" w:type="dxa"/>
            <w:left w:w="15" w:type="dxa"/>
            <w:bottom w:w="15" w:type="dxa"/>
            <w:right w:w="15" w:type="dxa"/>
          </w:tcMar>
          <w:vAlign w:val="center"/>
        </w:tcPr>
        <w:p/>
      </w:tc>
      <w:tc>
        <w:tcPr>
          <w:tcW w:w="672" w:type="dxa"/>
          <w:tcBorders/>
          <w:tcMar>
            <w:top w:w="15" w:type="dxa"/>
            <w:left w:w="15" w:type="dxa"/>
            <w:bottom w:w="15" w:type="dxa"/>
            <w:right w:w="15" w:type="dxa"/>
          </w:tcMar>
          <w:vAlign w:val="center"/>
        </w:tcPr>
        <w:p/>
      </w:tc>
      <w:tc>
        <w:tcPr>
          <w:tcW w:w="9523" w:type="dxa"/>
          <w:tcBorders/>
          <w:tcMar>
            <w:top w:w="15" w:type="dxa"/>
            <w:left w:w="15" w:type="dxa"/>
            <w:bottom w:w="15" w:type="dxa"/>
            <w:right w:w="15" w:type="dxa"/>
          </w:tcMar>
          <w:vAlign w:val="center"/>
        </w:tcPr>
        <w:p>
          <w:pPr>
            <w:spacing w:before="0" w:after="0"/>
            <w:ind w:left="0"/>
            <w:jc w:val="right"/>
          </w:pPr>
          <w:r>
            <w:rPr>
              <w:rFonts w:ascii="Times New Roman" w:hAnsi="Times New Roman"/>
              <w:b w:val="false"/>
              <w:i w:val="false"/>
              <w:color w:val="000000"/>
              <w:sz w:val="22"/>
            </w:rPr>
            <w:t>, v _</w:t>
          </w:r>
        </w:p>
      </w:tc>
    </w:tr>
  </w:tbl>
</w:ftr>
</file>

<file path=word/numbering.xml><?xml version="1.0" encoding="utf-8"?>
<w:numbering xmlns:w="http://schemas.openxmlformats.org/wordprocessingml/2006/main" xmlns:w14="http://schemas.microsoft.com/office/word/2010/wordml" xmlns:r="http://schemas.openxmlformats.org/officeDocument/2006/relationships" xmlns:wp="http://schemas.openxmlformats.org/drawingml/2006/wordprocessingDrawing" xmlns:a="http://schemas.openxmlformats.org/drawingml/2006/main" xmlns:wp14="http://schemas.microsoft.com/office/word/2010/wordprocessingDrawing" xmlns:m="http://schemas.openxmlformats.org/officeDocument/2006/math" xmlns:w15="http://schemas.microsoft.com/office/word/2012/wordml" xmlns:mc="http://schemas.openxmlformats.org/markup-compatibility/2006" xmlns:a14="http://schemas.microsoft.com/office/drawing/2010/main" xmlns:sl="http://schemas.openxmlformats.org/schemaLibrary/2006/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file>

<file path=word/settings.xml><?xml version="1.0" encoding="utf-8"?>
<w:settings xmlns:w="http://schemas.openxmlformats.org/wordprocessingml/2006/main" xmlns:w14="http://schemas.microsoft.com/office/word/2010/wordml" xmlns:r="http://schemas.openxmlformats.org/officeDocument/2006/relationships" xmlns:wp="http://schemas.openxmlformats.org/drawingml/2006/wordprocessingDrawing" xmlns:a="http://schemas.openxmlformats.org/drawingml/2006/main" xmlns:wp14="http://schemas.microsoft.com/office/word/2010/wordprocessingDrawing" xmlns:m="http://schemas.openxmlformats.org/officeDocument/2006/math" xmlns:w15="http://schemas.microsoft.com/office/word/2012/wordml" xmlns:mc="http://schemas.openxmlformats.org/markup-compatibility/2006" xmlns:a14="http://schemas.microsoft.com/office/drawing/2010/main" xmlns:sl="http://schemas.openxmlformats.org/schemaLibrary/2006/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mc:Ignorable="">
  <w:compat>
    <w:compatSetting w:name="overrideTableStyleFontSizeAndJustification" w:uri="http://schemas.microsoft.com/office/word" w:val="1"/>
  </w:compat>
</w:settings>
</file>

<file path=word/styles.xml><?xml version="1.0" encoding="utf-8"?>
<w:styles xmlns:w="http://schemas.openxmlformats.org/wordprocessingml/2006/main" xmlns:w14="http://schemas.microsoft.com/office/word/2010/wordml" xmlns:r="http://schemas.openxmlformats.org/officeDocument/2006/relationships" xmlns:wp="http://schemas.openxmlformats.org/drawingml/2006/wordprocessingDrawing" xmlns:a="http://schemas.openxmlformats.org/drawingml/2006/main" xmlns:wp14="http://schemas.microsoft.com/office/word/2010/wordprocessingDrawing" xmlns:m="http://schemas.openxmlformats.org/officeDocument/2006/math" xmlns:w15="http://schemas.microsoft.com/office/word/2012/wordml" xmlns:mc="http://schemas.openxmlformats.org/markup-compatibility/2006" xmlns:a14="http://schemas.microsoft.com/office/drawing/2010/main" xmlns:sl="http://schemas.openxmlformats.org/schemaLibrary/2006/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w:docDefaults>
    <w:rPrDefault>
      <w:rPr>
        <w:rFonts w:asciiTheme="minorHAnsi" w:hAnsiTheme="minorHAnsi" w:eastAsiaTheme="minorHAnsi" w:cstheme="minorBidi"/>
        <w:sz w:val="22"/>
        <w:szCs w:val="22"/>
        <w:lang w:val="en-US" w:eastAsia="en-US" w:bidi="ar-SA"/>
      </w:rPr>
    </w:rPrDefault>
    <w:pPrDefault>
      <w:pPr>
        <w:spacing w:after="200" w:line="276" w:lineRule="auto"/>
      </w:pPr>
    </w:pPrDefault>
  </w:docDefaults>
  <w:latentStyles w:defLockedState="false" w:defUIPriority="99" w:defSemiHidden="true" w:defUnhideWhenUsed="true" w:defQFormat="false" w:count="267">
    <w:lsdException w:name="Normal" w:uiPriority="0" w:semiHidden="false" w:unhideWhenUsed="false" w:qFormat="true"/>
    <w:lsdException w:name="heading 1" w:uiPriority="9" w:semiHidden="false" w:unhideWhenUsed="false" w:qFormat="true"/>
    <w:lsdException w:name="heading 2" w:uiPriority="9" w:qFormat="true"/>
    <w:lsdException w:name="heading 3" w:uiPriority="9" w:qFormat="true"/>
    <w:lsdException w:name="heading 4" w:uiPriority="9" w:qFormat="true"/>
    <w:lsdException w:name="Title" w:uiPriority="10" w:semiHidden="false" w:unhideWhenUsed="false" w:qFormat="true"/>
    <w:lsdException w:name="Default Paragraph Font" w:uiPriority="1"/>
    <w:lsdException w:name="Subtitle" w:uiPriority="11" w:semiHidden="false" w:unhideWhenUsed="false" w:qFormat="true"/>
    <w:lsdException w:name="Emphasis" w:uiPriority="20" w:semiHidden="false" w:unhideWhenUsed="false" w:qFormat="true"/>
    <w:lsdException w:name="Table Grid" w:uiPriority="59" w:semiHidden="false" w:unhideWhenUsed="false"/>
  </w:latentStyles>
  <w:style w:type="paragraph" w:styleId="Normal" w:default="true">
    <w:name w:val="Normal"/>
    <w:qFormat/>
    <w:rsid w:val="004A3277"/>
  </w:style>
  <w:style w:type="paragraph" w:styleId="Heading1">
    <w:name w:val="heading 1"/>
    <w:basedOn w:val="Normal"/>
    <w:next w:val="Normal"/>
    <w:link w:val="Heading1Char"/>
    <w:uiPriority w:val="9"/>
    <w:qFormat/>
    <w:rsid w:val="00841CD9"/>
    <w:pPr>
      <w:keepNext/>
      <w:keepLines/>
      <w:spacing w:before="480"/>
      <w:outlineLvl w:val="0"/>
    </w:pPr>
    <w:rPr>
      <w:rFonts w:asciiTheme="majorHAnsi" w:hAnsiTheme="majorHAnsi" w:eastAsiaTheme="majorEastAsia"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841CD9"/>
    <w:pPr>
      <w:keepNext/>
      <w:keepLines/>
      <w:spacing w:before="200"/>
      <w:outlineLvl w:val="1"/>
    </w:pPr>
    <w:rPr>
      <w:rFonts w:asciiTheme="majorHAnsi" w:hAnsiTheme="majorHAnsi" w:eastAsiaTheme="majorEastAsia" w:cstheme="majorBidi"/>
      <w:b/>
      <w:bCs/>
      <w:color w:val="4F81BD" w:themeColor="accent1"/>
      <w:sz w:val="26"/>
      <w:szCs w:val="26"/>
    </w:rPr>
  </w:style>
  <w:style w:type="paragraph" w:styleId="Heading3">
    <w:name w:val="heading 3"/>
    <w:basedOn w:val="Normal"/>
    <w:next w:val="Normal"/>
    <w:link w:val="Heading3Char"/>
    <w:uiPriority w:val="9"/>
    <w:unhideWhenUsed/>
    <w:qFormat/>
    <w:rsid w:val="00841CD9"/>
    <w:pPr>
      <w:keepNext/>
      <w:keepLines/>
      <w:spacing w:before="200"/>
      <w:outlineLvl w:val="2"/>
    </w:pPr>
    <w:rPr>
      <w:rFonts w:asciiTheme="majorHAnsi" w:hAnsiTheme="majorHAnsi" w:eastAsiaTheme="majorEastAsia" w:cstheme="majorBidi"/>
      <w:b/>
      <w:bCs/>
      <w:color w:val="4F81BD" w:themeColor="accent1"/>
    </w:rPr>
  </w:style>
  <w:style w:type="paragraph" w:styleId="Heading4">
    <w:name w:val="heading 4"/>
    <w:basedOn w:val="Normal"/>
    <w:next w:val="Normal"/>
    <w:link w:val="Heading4Char"/>
    <w:uiPriority w:val="9"/>
    <w:unhideWhenUsed/>
    <w:qFormat/>
    <w:rsid w:val="00841CD9"/>
    <w:pPr>
      <w:keepNext/>
      <w:keepLines/>
      <w:spacing w:before="200"/>
      <w:outlineLvl w:val="3"/>
    </w:pPr>
    <w:rPr>
      <w:rFonts w:asciiTheme="majorHAnsi" w:hAnsiTheme="majorHAnsi" w:eastAsiaTheme="majorEastAsia" w:cstheme="majorBidi"/>
      <w:b/>
      <w:bCs/>
      <w:i/>
      <w:iCs/>
      <w:color w:val="4F81BD" w:themeColor="accent1"/>
    </w:rPr>
  </w:style>
  <w:style w:type="character" w:styleId="DefaultParagraphFont" w:default="true">
    <w:name w:val="Default Paragraph Font"/>
    <w:uiPriority w:val="1"/>
    <w:semiHidden/>
    <w:unhideWhenUsed/>
  </w:style>
  <w:style w:type="paragraph" w:styleId="Header">
    <w:name w:val="header"/>
    <w:basedOn w:val="Normal"/>
    <w:link w:val="HeaderChar"/>
    <w:uiPriority w:val="99"/>
    <w:unhideWhenUsed/>
    <w:rsid w:val="00841CD9"/>
    <w:pPr>
      <w:tabs>
        <w:tab w:val="center" w:pos="4680"/>
        <w:tab w:val="right" w:pos="9360"/>
      </w:tabs>
    </w:pPr>
  </w:style>
  <w:style w:type="character" w:styleId="HeaderChar" w:customStyle="true">
    <w:name w:val="Header Char"/>
    <w:basedOn w:val="DefaultParagraphFont"/>
    <w:link w:val="Header"/>
    <w:uiPriority w:val="99"/>
    <w:rsid w:val="00841CD9"/>
  </w:style>
  <w:style w:type="character" w:styleId="Heading1Char" w:customStyle="true">
    <w:name w:val="Heading 1 Char"/>
    <w:basedOn w:val="DefaultParagraphFont"/>
    <w:link w:val="Heading1"/>
    <w:uiPriority w:val="9"/>
    <w:rsid w:val="00841CD9"/>
    <w:rPr>
      <w:rFonts w:asciiTheme="majorHAnsi" w:hAnsiTheme="majorHAnsi" w:eastAsiaTheme="majorEastAsia" w:cstheme="majorBidi"/>
      <w:b/>
      <w:bCs/>
      <w:color w:val="365F91" w:themeColor="accent1" w:themeShade="BF"/>
      <w:sz w:val="28"/>
      <w:szCs w:val="28"/>
    </w:rPr>
  </w:style>
  <w:style w:type="character" w:styleId="Heading2Char" w:customStyle="true">
    <w:name w:val="Heading 2 Char"/>
    <w:basedOn w:val="DefaultParagraphFont"/>
    <w:link w:val="Heading2"/>
    <w:uiPriority w:val="9"/>
    <w:rsid w:val="00841CD9"/>
    <w:rPr>
      <w:rFonts w:asciiTheme="majorHAnsi" w:hAnsiTheme="majorHAnsi" w:eastAsiaTheme="majorEastAsia" w:cstheme="majorBidi"/>
      <w:b/>
      <w:bCs/>
      <w:color w:val="4F81BD" w:themeColor="accent1"/>
      <w:sz w:val="26"/>
      <w:szCs w:val="26"/>
    </w:rPr>
  </w:style>
  <w:style w:type="character" w:styleId="Heading3Char" w:customStyle="true">
    <w:name w:val="Heading 3 Char"/>
    <w:basedOn w:val="DefaultParagraphFont"/>
    <w:link w:val="Heading3"/>
    <w:uiPriority w:val="9"/>
    <w:rsid w:val="00841CD9"/>
    <w:rPr>
      <w:rFonts w:asciiTheme="majorHAnsi" w:hAnsiTheme="majorHAnsi" w:eastAsiaTheme="majorEastAsia" w:cstheme="majorBidi"/>
      <w:b/>
      <w:bCs/>
      <w:color w:val="4F81BD" w:themeColor="accent1"/>
    </w:rPr>
  </w:style>
  <w:style w:type="character" w:styleId="Heading4Char" w:customStyle="true">
    <w:name w:val="Heading 4 Char"/>
    <w:basedOn w:val="DefaultParagraphFont"/>
    <w:link w:val="Heading4"/>
    <w:uiPriority w:val="9"/>
    <w:rsid w:val="00841CD9"/>
    <w:rPr>
      <w:rFonts w:asciiTheme="majorHAnsi" w:hAnsiTheme="majorHAnsi" w:eastAsiaTheme="majorEastAsia" w:cstheme="majorBidi"/>
      <w:b/>
      <w:bCs/>
      <w:i/>
      <w:iCs/>
      <w:color w:val="4F81BD" w:themeColor="accent1"/>
    </w:rPr>
  </w:style>
  <w:style w:type="paragraph" w:styleId="NormalIndent">
    <w:name w:val="Normal Indent"/>
    <w:basedOn w:val="Normal"/>
    <w:uiPriority w:val="99"/>
    <w:unhideWhenUsed/>
    <w:rsid w:val="00841CD9"/>
    <w:pPr>
      <w:ind w:left="720"/>
    </w:pPr>
  </w:style>
  <w:style w:type="paragraph" w:styleId="Subtitle">
    <w:name w:val="Subtitle"/>
    <w:basedOn w:val="Normal"/>
    <w:next w:val="Normal"/>
    <w:link w:val="SubtitleChar"/>
    <w:uiPriority w:val="11"/>
    <w:qFormat/>
    <w:rsid w:val="00841CD9"/>
    <w:pPr>
      <w:numPr>
        <w:ilvl w:val="1"/>
      </w:numPr>
      <w:ind w:left="86"/>
    </w:pPr>
    <w:rPr>
      <w:rFonts w:asciiTheme="majorHAnsi" w:hAnsiTheme="majorHAnsi" w:eastAsiaTheme="majorEastAsia" w:cstheme="majorBidi"/>
      <w:i/>
      <w:iCs/>
      <w:color w:val="4F81BD" w:themeColor="accent1"/>
      <w:spacing w:val="15"/>
      <w:sz w:val="24"/>
      <w:szCs w:val="24"/>
    </w:rPr>
  </w:style>
  <w:style w:type="character" w:styleId="SubtitleChar" w:customStyle="true">
    <w:name w:val="Subtitle Char"/>
    <w:basedOn w:val="DefaultParagraphFont"/>
    <w:link w:val="Subtitle"/>
    <w:uiPriority w:val="11"/>
    <w:rsid w:val="00841CD9"/>
    <w:rPr>
      <w:rFonts w:asciiTheme="majorHAnsi" w:hAnsiTheme="majorHAnsi" w:eastAsiaTheme="majorEastAsia" w:cstheme="majorBidi"/>
      <w:i/>
      <w:iCs/>
      <w:color w:val="4F81BD" w:themeColor="accent1"/>
      <w:spacing w:val="15"/>
      <w:sz w:val="24"/>
      <w:szCs w:val="24"/>
    </w:rPr>
  </w:style>
  <w:style w:type="paragraph" w:styleId="Title">
    <w:name w:val="Title"/>
    <w:basedOn w:val="Normal"/>
    <w:next w:val="Normal"/>
    <w:link w:val="TitleChar"/>
    <w:uiPriority w:val="10"/>
    <w:qFormat/>
    <w:rsid w:val="00841CD9"/>
    <w:pPr>
      <w:pBdr>
        <w:bottom w:val="single" w:color="4F81BD" w:themeColor="accent1" w:sz="8" w:space="4"/>
      </w:pBdr>
      <w:spacing w:after="300"/>
      <w:contextualSpacing/>
    </w:pPr>
    <w:rPr>
      <w:rFonts w:asciiTheme="majorHAnsi" w:hAnsiTheme="majorHAnsi" w:eastAsiaTheme="majorEastAsia" w:cstheme="majorBidi"/>
      <w:color w:val="17365D" w:themeColor="text2" w:themeShade="BF"/>
      <w:spacing w:val="5"/>
      <w:kern w:val="28"/>
      <w:sz w:val="52"/>
      <w:szCs w:val="52"/>
    </w:rPr>
  </w:style>
  <w:style w:type="character" w:styleId="TitleChar" w:customStyle="true">
    <w:name w:val="Title Char"/>
    <w:basedOn w:val="DefaultParagraphFont"/>
    <w:link w:val="Title"/>
    <w:uiPriority w:val="10"/>
    <w:rsid w:val="00841CD9"/>
    <w:rPr>
      <w:rFonts w:asciiTheme="majorHAnsi" w:hAnsiTheme="majorHAnsi" w:eastAsiaTheme="majorEastAsia" w:cstheme="majorBidi"/>
      <w:color w:val="17365D" w:themeColor="text2" w:themeShade="BF"/>
      <w:spacing w:val="5"/>
      <w:kern w:val="28"/>
      <w:sz w:val="52"/>
      <w:szCs w:val="52"/>
    </w:rPr>
  </w:style>
  <w:style w:type="character" w:styleId="Emphasis">
    <w:name w:val="Emphasis"/>
    <w:basedOn w:val="DefaultParagraphFont"/>
    <w:uiPriority w:val="20"/>
    <w:qFormat/>
    <w:rsid w:val="00D1197D"/>
    <w:rPr>
      <w:i/>
      <w:iCs/>
    </w:rPr>
  </w:style>
  <w:style w:type="character" w:styleId="Hyperlink">
    <w:name w:val="Hyperlink"/>
    <w:basedOn w:val="DefaultParagraphFont"/>
    <w:uiPriority w:val="99"/>
    <w:unhideWhenUsed/>
    <w:rPr>
      <w:color w:val="0000FF" w:themeColor="hyperlink"/>
      <w:u w:val="single"/>
    </w:rPr>
  </w:style>
  <w:style w:type="table" w:styleId="TableGrid">
    <w:name w:val="Table Grid"/>
    <w:basedOn w:val="TableNormal"/>
    <w:uiPriority w:val="59"/>
    <w:pPr>
      <w:spacing w:after="0" w:line="240" w:lineRule="auto"/>
    </w:pPr>
    <w:tblPr>
      <w:tblInd w:w="0" w:type="dxa"/>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insideV w:val="single" w:color="000000" w:themeColor="text1" w:sz="4" w:space="0"/>
      </w:tblBorders>
      <w:tblCellMar>
        <w:top w:w="0" w:type="dxa"/>
        <w:left w:w="108" w:type="dxa"/>
        <w:bottom w:w="0" w:type="dxa"/>
        <w:right w:w="108" w:type="dxa"/>
      </w:tblCellMar>
    </w:tblPr>
  </w:style>
  <w:style w:type="table" w:styleId="TableNormal" w:default="true">
    <w:name w:val="Normal Table"/>
    <w:uiPriority w:val="99"/>
    <w:semiHidden/>
    <w:unhideWhenUsed/>
    <w:qFormat/>
    <w:tblPr>
      <w:tblInd w:w="0" w:type="dxa"/>
      <w:tblCellMar>
        <w:top w:w="0" w:type="dxa"/>
        <w:left w:w="108" w:type="dxa"/>
        <w:bottom w:w="0" w:type="dxa"/>
        <w:right w:w="108" w:type="dxa"/>
      </w:tblCellMar>
    </w:tblPr>
  </w:style>
  <w:style w:type="paragraph" w:styleId="Caption">
    <w:name w:val="caption"/>
    <w:basedOn w:val="Normal"/>
    <w:next w:val="Normal"/>
    <w:uiPriority w:val="35"/>
    <w:semiHidden/>
    <w:unhideWhenUsed/>
    <w:qFormat/>
    <w:rsid w:val="007109C0"/>
    <w:pPr>
      <w:spacing w:line="240" w:lineRule="auto"/>
    </w:pPr>
    <w:rPr>
      <w:b/>
      <w:bCs/>
      <w:color w:val="4F81BD" w:themeColor="accent1"/>
      <w:sz w:val="18"/>
      <w:szCs w:val="18"/>
    </w:rPr>
  </w:style>
</w:styles>
</file>

<file path=word/_rels/document.xml.rels><?xml version="1.0" encoding="UTF-8" standalone="yes"?>
<Relationships xmlns="http://schemas.openxmlformats.org/package/2006/relationships">
    <Relationship Target="styles.xml" Type="http://schemas.openxmlformats.org/officeDocument/2006/relationships/styles" Id="rId1"/>
    <Relationship Target="settings.xml" Type="http://schemas.openxmlformats.org/officeDocument/2006/relationships/settings" Id="rId2"/>
    <Relationship Target="numbering.xml" Type="http://schemas.openxmlformats.org/officeDocument/2006/relationships/numbering" Id="rId3"/>
    <Relationship TargetMode="External" Target="https://www.legis.iowa.gov/docs/ico/chapter/17A.7.pdf" Type="http://schemas.openxmlformats.org/officeDocument/2006/relationships/hyperlink" Id="rId4"/>
    <Relationship TargetMode="External" Target="https://www.legis.iowa.gov/docs/ico/chapter/533D.pdf" Type="http://schemas.openxmlformats.org/officeDocument/2006/relationships/hyperlink" Id="rId5"/>
    <Relationship TargetMode="External" Target="https://www.legis.iowa.gov/docs/ico/chapter/533D.2.pdf" Type="http://schemas.openxmlformats.org/officeDocument/2006/relationships/hyperlink" Id="rId6"/>
    <Relationship TargetMode="External" Target="https://www.legis.iowa.gov/docs/ico/chapter/535D.3.pdf" Type="http://schemas.openxmlformats.org/officeDocument/2006/relationships/hyperlink" Id="rId7"/>
    <Relationship TargetMode="External" Target="https://www.legis.iowa.gov/docs/ico/chapter/533D.3.pdf" Type="http://schemas.openxmlformats.org/officeDocument/2006/relationships/hyperlink" Id="rId8"/>
    <Relationship TargetMode="External" Target="https://www.legis.iowa.gov/docs/ico/chapter/533D.3.pdf" Type="http://schemas.openxmlformats.org/officeDocument/2006/relationships/hyperlink" Id="rId9"/>
    <Relationship TargetMode="External" Target="https://www.legis.iowa.gov/docs/ico/chapter/533D.3.pdf" Type="http://schemas.openxmlformats.org/officeDocument/2006/relationships/hyperlink" Id="rId10"/>
    <Relationship TargetMode="External" Target="https://www.legis.iowa.gov/docs/ico/chapter/533D.pdf" Type="http://schemas.openxmlformats.org/officeDocument/2006/relationships/hyperlink" Id="rId11"/>
    <Relationship TargetMode="External" Target="https://www.legis.iowa.gov/docs/ico/chapter/533D.7.pdf" Type="http://schemas.openxmlformats.org/officeDocument/2006/relationships/hyperlink" Id="rId12"/>
    <Relationship TargetMode="External" Target="https://www.legis.iowa.gov/docs/ico/chapter/533D.7A.pdf" Type="http://schemas.openxmlformats.org/officeDocument/2006/relationships/hyperlink" Id="rId13"/>
    <Relationship TargetMode="External" Target="https://www.legis.iowa.gov/docs/ico/chapter/533D.7.pdf" Type="http://schemas.openxmlformats.org/officeDocument/2006/relationships/hyperlink" Id="rId14"/>
    <Relationship TargetMode="External" Target="https://www.legis.iowa.gov/docs/iac/rule/187.17.5.pdf" Type="http://schemas.openxmlformats.org/officeDocument/2006/relationships/hyperlink" Id="rId15"/>
    <Relationship TargetMode="External" Target="https://www.legis.iowa.gov/docs/ico/chapter/533D.6.pdf" Type="http://schemas.openxmlformats.org/officeDocument/2006/relationships/hyperlink" Id="rId16"/>
    <Relationship TargetMode="External" Target="https://www.legis.iowa.gov/docs/ico/chapter/533D.3.pdf" Type="http://schemas.openxmlformats.org/officeDocument/2006/relationships/hyperlink" Id="rId17"/>
    <Relationship TargetMode="External" Target="https://www.legis.iowa.gov/docs/iac/rule/187.17.4.pdf" Type="http://schemas.openxmlformats.org/officeDocument/2006/relationships/hyperlink" Id="rId18"/>
    <Relationship TargetMode="External" Target="https://www.legis.iowa.gov/docs/iac/rule/187.17.2.pdf" Type="http://schemas.openxmlformats.org/officeDocument/2006/relationships/hyperlink" Id="rId19"/>
    <Relationship TargetMode="External" Target="https://www.legis.iowa.gov/docs/ico/chapter/533D.9.pdf" Type="http://schemas.openxmlformats.org/officeDocument/2006/relationships/hyperlink" Id="rId20"/>
    <Relationship TargetMode="External" Target="https://www.legis.iowa.gov/docs/ico/chapter/533D.pdf" Type="http://schemas.openxmlformats.org/officeDocument/2006/relationships/hyperlink" Id="rId21"/>
    <Relationship TargetMode="External" Target="https://www.legis.iowa.gov/docs/ico/chapter/715A.8.pdf" Type="http://schemas.openxmlformats.org/officeDocument/2006/relationships/hyperlink" Id="rId22"/>
    <Relationship TargetMode="External" Target="https://www.legis.iowa.gov/docs/ico/chapter/533D.11.pdf" Type="http://schemas.openxmlformats.org/officeDocument/2006/relationships/hyperlink" Id="rId23"/>
    <Relationship TargetMode="External" Target="https://www.legis.iowa.gov/docs/ico/chapter/533D.12.pdf" Type="http://schemas.openxmlformats.org/officeDocument/2006/relationships/hyperlink" Id="rId24"/>
    <Relationship TargetMode="External" Target="https://www.legis.iowa.gov/docs/ico/chapter/533D.12.pdf" Type="http://schemas.openxmlformats.org/officeDocument/2006/relationships/hyperlink" Id="rId25"/>
    <Relationship TargetMode="External" Target="https://www.legis.iowa.gov/docs/ico/chapter/17A.pdf" Type="http://schemas.openxmlformats.org/officeDocument/2006/relationships/hyperlink" Id="rId26"/>
    <Relationship TargetMode="External" Target="https://www.legis.iowa.gov/docs/ico/chapter/533D.pdf" Type="http://schemas.openxmlformats.org/officeDocument/2006/relationships/hyperlink" Id="rId27"/>
    <Relationship Target="footer.xml" Type="http://schemas.openxmlformats.org/officeDocument/2006/relationships/footer" Id="rId28"/>
</Relationships>

</file>

<file path=docProps/app.xml><?xml version="1.0" encoding="utf-8"?>
<properties:Properties xmlns:properties="http://schemas.openxmlformats.org/officeDocument/2006/extended-properties" xmlns:vt="http://schemas.openxmlformats.org/officeDocument/2006/docPropsVTypes"/>
</file>

<file path=docProps/core.xml><?xml version="1.0" encoding="utf-8"?>
<cp:coreProperties xmlns:cp="http://schemas.openxmlformats.org/package/2006/metadata/core-properties" xmlns:dcterms="http://purl.org/dc/terms/" xmlns:dc="http://purl.org/dc/elements/1.1/"/>
</file>