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REGULATED LOANS</w:t>
      </w:r>
    </w:p>
    <w:p>
      <w:pPr>
        <w:spacing w:before="0" w:after="0"/>
        <w:ind w:left="120"/>
        <w:jc w:val="center"/>
      </w:pPr>
      <w:r>
        <w:rPr>
          <w:rFonts w:ascii="Times New Roman" w:hAnsi="Times New Roman"/>
          <w:b w:val="false"/>
          <w:i w:val="false"/>
          <w:color w:val="000000"/>
          <w:sz w:val="20"/>
        </w:rPr>
        <w:t>[Appeared as Ch 1, 1973 IDR]</w:t>
      </w:r>
    </w:p>
    <w:p>
      <w:pPr>
        <w:spacing w:before="0" w:after="0"/>
        <w:ind w:left="120"/>
        <w:jc w:val="center"/>
      </w:pPr>
      <w:r>
        <w:rPr>
          <w:rFonts w:ascii="Times New Roman" w:hAnsi="Times New Roman"/>
          <w:b w:val="false"/>
          <w:i w:val="false"/>
          <w:color w:val="000000"/>
          <w:sz w:val="20"/>
        </w:rPr>
        <w:t>[Prior to 4/22/87, see Banking Department [140] Ch 21]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187—15.1</w:t>
      </w:r>
      <w:r>
        <w:rPr>
          <w:rFonts w:ascii="Times New Roman" w:hAnsi="Times New Roman"/>
          <w:b/>
          <w:i w:val="false"/>
          <w:color w:val="000000"/>
          <w:sz w:val="22"/>
        </w:rPr>
        <w:t xml:space="preserve">(17A,536)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“nationwide mortgage licensing system and registry” as defined in Iowa Code section </w:t>
      </w:r>
      <w:hyperlink r:id="rId6">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loan”</w:t>
      </w:r>
      <w:r>
        <w:rPr>
          <w:rFonts w:ascii="Times New Roman" w:hAnsi="Times New Roman"/>
          <w:b w:val="false"/>
          <w:i w:val="false"/>
          <w:color w:val="000000"/>
          <w:sz w:val="22"/>
        </w:rPr>
        <w:t> </w:t>
      </w:r>
      <w:r>
        <w:rPr>
          <w:rFonts w:ascii="Times New Roman" w:hAnsi="Times New Roman"/>
          <w:b w:val="false"/>
          <w:i w:val="false"/>
          <w:color w:val="000000"/>
          <w:sz w:val="22"/>
        </w:rPr>
        <w:t>means a loan made by a licensee acting under the terms of the Iowa regulated loan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187—15.2</w:t>
      </w:r>
      <w:r>
        <w:rPr>
          <w:rFonts w:ascii="Times New Roman" w:hAnsi="Times New Roman"/>
          <w:b/>
          <w:i w:val="false"/>
          <w:color w:val="000000"/>
          <w:sz w:val="22"/>
        </w:rPr>
        <w:t xml:space="preserve">(17A,536) </w:t>
      </w:r>
      <w:r>
        <w:rPr>
          <w:rFonts w:ascii="Times New Roman" w:hAnsi="Times New Roman"/>
          <w:b/>
          <w:i w:val="false"/>
          <w:color w:val="000000"/>
          <w:sz w:val="22"/>
        </w:rPr>
        <w:t xml:space="preserve">Utilization of NMLS.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187—15.3</w:t>
      </w:r>
      <w:r>
        <w:rPr>
          <w:rFonts w:ascii="Times New Roman" w:hAnsi="Times New Roman"/>
          <w:b/>
          <w:i w:val="false"/>
          <w:color w:val="000000"/>
          <w:sz w:val="22"/>
        </w:rPr>
        <w:t xml:space="preserve">(17A,536)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 regulated loan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and the initial license fee specified in Iowa Code section </w:t>
      </w:r>
      <w:hyperlink r:id="rId7">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 xml:space="preserve"> 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 </w:t>
      </w:r>
    </w:p>
    <w:p>
      <w:pPr>
        <w:spacing w:before="0" w:after="0"/>
        <w:ind w:left="120"/>
        <w:jc w:val="both"/>
      </w:pP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regulated loan company license must file with the superintendent a bond complying with the provisions of Iowa Code section </w:t>
      </w:r>
      <w:hyperlink r:id="rId8">
        <w:r>
          <w:rPr>
            <w:rStyle w:val="Hyperlink"/>
            <w:rFonts w:ascii="Times New Roman" w:hAnsi="Times New Roman"/>
            <w:b w:val="false"/>
            <w:i w:val="false"/>
            <w:color w:val="000000"/>
            <w:sz w:val="22"/>
          </w:rPr>
          <w:t>536.3</w:t>
        </w:r>
      </w:hyperlink>
      <w:r>
        <w:rPr>
          <w:rFonts w:ascii="Times New Roman" w:hAnsi="Times New Roman"/>
          <w:b w:val="false"/>
          <w:i w:val="false"/>
          <w:color w:val="000000"/>
          <w:sz w:val="22"/>
        </w:rPr>
        <w:t xml:space="preserve">. For an applicant or a licensee who does not make, arrange, broker, process, or underwrite any residential mortgage loans as defined in Iowa Code section </w:t>
      </w:r>
      <w:hyperlink r:id="rId9">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xml:space="preserve">, the bond shall be in the amount of $25,000. For an applicant or a licensee who makes, brokers, processes, or underwrites residential mortgage loans as defined in Iowa Code section </w:t>
      </w:r>
      <w:hyperlink r:id="rId10">
        <w:r>
          <w:rPr>
            <w:rStyle w:val="Hyperlink"/>
            <w:rFonts w:ascii="Times New Roman" w:hAnsi="Times New Roman"/>
            <w:b w:val="false"/>
            <w:i w:val="false"/>
            <w:color w:val="000000"/>
            <w:sz w:val="22"/>
          </w:rPr>
          <w:t>535D.3(13)</w:t>
        </w:r>
      </w:hyperlink>
      <w:r>
        <w:rPr>
          <w:rFonts w:ascii="Times New Roman" w:hAnsi="Times New Roman"/>
          <w:b w:val="false"/>
          <w:i w:val="false"/>
          <w:color w:val="000000"/>
          <w:sz w:val="22"/>
        </w:rPr>
        <w:t>, the bond amount required to be filed and maintained shall be set and adjusted annually by March 31 using the following scale, based on the volume of residential mortgage loans made, originated, arranged, brokered, processed, and underwritten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$5,000,000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$5,000,001 – $20,000,000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$20,000,001 – $50,000,000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$50,000,001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187—15.4</w:t>
      </w:r>
      <w:r>
        <w:rPr>
          <w:rFonts w:ascii="Times New Roman" w:hAnsi="Times New Roman"/>
          <w:b/>
          <w:i w:val="false"/>
          <w:color w:val="000000"/>
          <w:sz w:val="22"/>
        </w:rPr>
        <w:t xml:space="preserve">(17A,536)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11">
        <w:r>
          <w:rPr>
            <w:rStyle w:val="Hyperlink"/>
            <w:rFonts w:ascii="Times New Roman" w:hAnsi="Times New Roman"/>
            <w:b w:val="false"/>
            <w:i w:val="false"/>
            <w:color w:val="000000"/>
            <w:sz w:val="22"/>
          </w:rPr>
          <w:t>536.4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lawfully and honestly within the purposes of Iowa Code chapter </w:t>
      </w:r>
      <w:hyperlink r:id="rId12">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187—15.5</w:t>
      </w:r>
      <w:r>
        <w:rPr>
          <w:rFonts w:ascii="Times New Roman" w:hAnsi="Times New Roman"/>
          <w:b/>
          <w:i w:val="false"/>
          <w:color w:val="000000"/>
          <w:sz w:val="22"/>
        </w:rPr>
        <w:t xml:space="preserve">(17A,536)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make regulated loans. A license expires on the next December 31 after the license is issued, but a license granted on or after November 1 but before January 1 does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including any material change to information contained in the original application, through NMLS by December 1 of the year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187—15.6</w:t>
      </w:r>
      <w:r>
        <w:rPr>
          <w:rFonts w:ascii="Times New Roman" w:hAnsi="Times New Roman"/>
          <w:b/>
          <w:i w:val="false"/>
          <w:color w:val="000000"/>
          <w:sz w:val="22"/>
        </w:rPr>
        <w:t xml:space="preserve">(17A,536) </w:t>
      </w:r>
      <w:r>
        <w:rPr>
          <w:rFonts w:ascii="Times New Roman" w:hAnsi="Times New Roman"/>
          <w:b/>
          <w:i w:val="false"/>
          <w:color w:val="000000"/>
          <w:sz w:val="22"/>
        </w:rPr>
        <w:t xml:space="preserve">Changes in the licensee’s name, location, or control;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A licensee wishing to change the name or location of a regulated loan business shall notify the superintendent through NMLS at least 30 days prior to the effective date of the requested change and submit the appropriate fee. The notice shall include proof that the licensee has either obtained a new bond or amended the existing bond to reflect the new name or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FBI. The superintendent shall approve or deny the request in accordance with the provisions of Iowa Code section </w:t>
      </w:r>
      <w:hyperlink r:id="rId13">
        <w:r>
          <w:rPr>
            <w:rStyle w:val="Hyperlink"/>
            <w:rFonts w:ascii="Times New Roman" w:hAnsi="Times New Roman"/>
            <w:b w:val="false"/>
            <w:i w:val="false"/>
            <w:color w:val="000000"/>
            <w:sz w:val="22"/>
          </w:rPr>
          <w:t>536.4</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187—15.4</w:t>
        </w:r>
      </w:hyperlink>
      <w:r>
        <w:rPr>
          <w:rFonts w:ascii="Times New Roman" w:hAnsi="Times New Roman"/>
          <w:b w:val="false"/>
          <w:i w:val="false"/>
          <w:color w:val="000000"/>
          <w:sz w:val="22"/>
        </w:rPr>
        <w:t>(17A,536).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187—15.7</w:t>
      </w:r>
      <w:r>
        <w:rPr>
          <w:rFonts w:ascii="Times New Roman" w:hAnsi="Times New Roman"/>
          <w:b/>
          <w:i w:val="false"/>
          <w:color w:val="000000"/>
          <w:sz w:val="22"/>
        </w:rPr>
        <w:t xml:space="preserve">(17A,536)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in writing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or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187—15.8</w:t>
      </w:r>
      <w:r>
        <w:rPr>
          <w:rFonts w:ascii="Times New Roman" w:hAnsi="Times New Roman"/>
          <w:b/>
          <w:i w:val="false"/>
          <w:color w:val="000000"/>
          <w:sz w:val="22"/>
        </w:rPr>
        <w:t xml:space="preserve">(17A,536)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Iowa Code chapter </w:t>
      </w:r>
      <w:hyperlink r:id="rId15">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the superintendent may require a person to provide a response to a formal order, an examination, or a complaint inquiry. If the person fails to respond within 30 days of the request, the superintendent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The applicant or licensee shall pay any fee required by NMLS or attributed to the licensee’s record in NMLS pursuant to rule </w:t>
      </w:r>
      <w:hyperlink r:id="rId16">
        <w:r>
          <w:rPr>
            <w:rStyle w:val="Hyperlink"/>
            <w:rFonts w:ascii="Times New Roman" w:hAnsi="Times New Roman"/>
            <w:b w:val="false"/>
            <w:i w:val="false"/>
            <w:color w:val="000000"/>
            <w:sz w:val="22"/>
          </w:rPr>
          <w:t>187—15.2</w:t>
        </w:r>
      </w:hyperlink>
      <w:r>
        <w:rPr>
          <w:rFonts w:ascii="Times New Roman" w:hAnsi="Times New Roman"/>
          <w:b w:val="false"/>
          <w:i w:val="false"/>
          <w:color w:val="000000"/>
          <w:sz w:val="22"/>
        </w:rPr>
        <w:t>(17A,536).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187—15.9</w:t>
      </w:r>
      <w:r>
        <w:rPr>
          <w:rFonts w:ascii="Times New Roman" w:hAnsi="Times New Roman"/>
          <w:b/>
          <w:i w:val="false"/>
          <w:color w:val="000000"/>
          <w:sz w:val="22"/>
        </w:rPr>
        <w:t xml:space="preserve">(17A,536)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produce books and records for the superintendent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the licensee’s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licensee shall keep, at the licensee’s principal place of business, a loan register, an account ledger, an account ledger control, a loan file, an index, and a disbursement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be kept chronologically in the order the loans closed and include the following information for every loan that is made: the account number, the date of the transaction, the name of the borrower, and the amount financed.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account ledger shall be kept for each account and show at least the loan number; name and address of the borrower; date of loan; date of first payment; date of final payment; terms of repayment, including maturity date, amount financed, total of payments, face amount of note if different from amount financed or total payments, cash advanced to borrower, cash advanced to pay balance of previous regulated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payments shall be posted on the account ledger as of the date received. Corrections to the transaction history in the account ledger shall be made by corrective entry and not by erasure. The entries on the account ledger shall correspond with the receipts given to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payment is made in any way other than in the ordinary course of business, the method of payment shall be so designated on the account ledger. When a death claim is filed, the exact date of death is to be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and the date of the final installment.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any loan is prepaid in full,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 ledgers relating to each type of business operation must be filed in separate groups. Paid-in-full and renewed account ledgers must also be filed in a similar manner and be retained from one examination to the next. After the examination, the account ledgers may be filed in a permanent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w:t>
      </w:r>
      <w:r>
        <w:rPr>
          <w:rFonts w:ascii="Times New Roman" w:hAnsi="Times New Roman"/>
          <w:b w:val="false"/>
          <w:i w:val="false"/>
          <w:color w:val="000000"/>
          <w:sz w:val="22"/>
        </w:rPr>
        <w:t> </w:t>
      </w:r>
      <w:r>
        <w:rPr>
          <w:rFonts w:ascii="Times New Roman" w:hAnsi="Times New Roman"/>
          <w:b w:val="false"/>
          <w:i/>
          <w:color w:val="000000"/>
          <w:sz w:val="22"/>
        </w:rPr>
        <w:t xml:space="preserve">Account ledger control. </w:t>
      </w:r>
      <w:r>
        <w:rPr>
          <w:rFonts w:ascii="Times New Roman" w:hAnsi="Times New Roman"/>
          <w:b w:val="false"/>
          <w:i w:val="false"/>
          <w:color w:val="000000"/>
          <w:sz w:val="22"/>
        </w:rPr>
        <w:t>A record showing the total number of accounts and total amount receivable for each type of business shall be maintained in the licensed office and posted either daily or weekly.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15.9(6)</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A separate file shall be maintained for each borrower in the office where the loan is outstanding. Such file shall contain the note, security agreement, wage assignment, and all other evidence of indebtedness or security pertaining to the loan except when the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17">
        <w:r>
          <w:rPr>
            <w:rStyle w:val="Hyperlink"/>
            <w:rFonts w:ascii="Times New Roman" w:hAnsi="Times New Roman"/>
            <w:b w:val="false"/>
            <w:i w:val="false"/>
            <w:color w:val="000000"/>
            <w:sz w:val="22"/>
          </w:rPr>
          <w:t>15.9(7)</w:t>
        </w:r>
      </w:hyperlink>
      <w:r>
        <w:rPr>
          <w:rFonts w:ascii="Times New Roman" w:hAnsi="Times New Roman"/>
          <w:b w:val="false"/>
          <w:i w:val="false"/>
          <w:color w:val="000000"/>
          <w:sz w:val="22"/>
        </w:rPr>
        <w:t xml:space="preserve"> or on the individual account ledger required by subrule </w:t>
      </w:r>
      <w:hyperlink r:id="rId18">
        <w:r>
          <w:rPr>
            <w:rStyle w:val="Hyperlink"/>
            <w:rFonts w:ascii="Times New Roman" w:hAnsi="Times New Roman"/>
            <w:b w:val="false"/>
            <w:i w:val="false"/>
            <w:color w:val="000000"/>
            <w:sz w:val="22"/>
          </w:rPr>
          <w:t>15.9(4)</w:t>
        </w:r>
      </w:hyperlink>
      <w:r>
        <w:rPr>
          <w:rFonts w:ascii="Times New Roman" w:hAnsi="Times New Roman"/>
          <w:b w:val="false"/>
          <w:i w:val="false"/>
          <w:color w:val="000000"/>
          <w:sz w:val="22"/>
        </w:rPr>
        <w:t>. All instruments taken in connection with a loan and signed by a borrower must bear the loan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15.9(7)</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borrower, endorser, comaker, or surety that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in conjunction with each loan, a disbursement voucher or equivalent document showing a detailed itemization of the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regulated loan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regulated loan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bond required by Iowa Code chapter </w:t>
      </w:r>
      <w:hyperlink r:id="rId19">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regulated loans directed at Iowa residents, including advertisements and solicitations on the internet or by other electronic means, in the format in which the advertisements and solicitations were published or distributed. An advertisement shall 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0">
        <w:r>
          <w:rPr>
            <w:rStyle w:val="Hyperlink"/>
            <w:rFonts w:ascii="Times New Roman" w:hAnsi="Times New Roman"/>
            <w:b w:val="false"/>
            <w:i w:val="false"/>
            <w:color w:val="000000"/>
            <w:sz w:val="22"/>
          </w:rPr>
          <w:t>715A.8(1)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187—15.10</w:t>
      </w:r>
      <w:r>
        <w:rPr>
          <w:rFonts w:ascii="Times New Roman" w:hAnsi="Times New Roman"/>
          <w:b/>
          <w:i w:val="false"/>
          <w:color w:val="000000"/>
          <w:sz w:val="22"/>
        </w:rPr>
        <w:t xml:space="preserve">(17A,536)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or examine a licensee pursuant to Iowa Code section </w:t>
      </w:r>
      <w:hyperlink r:id="rId21">
        <w:r>
          <w:rPr>
            <w:rStyle w:val="Hyperlink"/>
            <w:rFonts w:ascii="Times New Roman" w:hAnsi="Times New Roman"/>
            <w:b w:val="false"/>
            <w:i w:val="false"/>
            <w:color w:val="000000"/>
            <w:sz w:val="22"/>
          </w:rPr>
          <w:t>536.10</w:t>
        </w:r>
      </w:hyperlink>
      <w:r>
        <w:rPr>
          <w:rFonts w:ascii="Times New Roman" w:hAnsi="Times New Roman"/>
          <w:b w:val="false"/>
          <w:i w:val="false"/>
          <w:color w:val="000000"/>
          <w:sz w:val="22"/>
        </w:rPr>
        <w:t>, including investigating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val="false"/>
          <w:color w:val="000000"/>
          <w:sz w:val="22"/>
        </w:rPr>
        <w:t>A complaint or alleged violation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187—15.11</w:t>
      </w:r>
      <w:r>
        <w:rPr>
          <w:rFonts w:ascii="Times New Roman" w:hAnsi="Times New Roman"/>
          <w:b/>
          <w:i w:val="false"/>
          <w:color w:val="000000"/>
          <w:sz w:val="22"/>
        </w:rPr>
        <w:t xml:space="preserve">(17A,536)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22">
        <w:r>
          <w:rPr>
            <w:rStyle w:val="Hyperlink"/>
            <w:rFonts w:ascii="Times New Roman" w:hAnsi="Times New Roman"/>
            <w:b w:val="false"/>
            <w:i w:val="false"/>
            <w:color w:val="000000"/>
            <w:sz w:val="22"/>
          </w:rPr>
          <w:t>536.9(2)</w:t>
        </w:r>
      </w:hyperlink>
      <w:r>
        <w:rPr>
          <w:rFonts w:ascii="Times New Roman" w:hAnsi="Times New Roman"/>
          <w:b w:val="false"/>
          <w:i w:val="false"/>
          <w:color w:val="000000"/>
          <w:sz w:val="22"/>
        </w:rPr>
        <w:t xml:space="preserve"> when the superintendent makes any of the findings in Iowa Code section </w:t>
      </w:r>
      <w:hyperlink r:id="rId23">
        <w:r>
          <w:rPr>
            <w:rStyle w:val="Hyperlink"/>
            <w:rFonts w:ascii="Times New Roman" w:hAnsi="Times New Roman"/>
            <w:b w:val="false"/>
            <w:i w:val="false"/>
            <w:color w:val="000000"/>
            <w:sz w:val="22"/>
          </w:rPr>
          <w:t>536.9(1)</w:t>
        </w:r>
      </w:hyperlink>
      <w:r>
        <w:rPr>
          <w:rFonts w:ascii="Times New Roman" w:hAnsi="Times New Roman"/>
          <w:b w:val="false"/>
          <w:i w:val="false"/>
          <w:color w:val="000000"/>
          <w:sz w:val="22"/>
        </w:rPr>
        <w:t xml:space="preserve"> or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has abandoned the licensee’s place of business for 60 or more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fails to respond to an inquiry from the superintendent within 30 days of the date the superintendent mails a written communication directed to the licensee’s last-known address on file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engage in the business of making loans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the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187—15.12</w:t>
      </w:r>
      <w:r>
        <w:rPr>
          <w:rFonts w:ascii="Times New Roman" w:hAnsi="Times New Roman"/>
          <w:b/>
          <w:i w:val="false"/>
          <w:color w:val="000000"/>
          <w:sz w:val="22"/>
        </w:rPr>
        <w:t xml:space="preserve">(17A,536) </w:t>
      </w:r>
      <w:r>
        <w:rPr>
          <w:rFonts w:ascii="Times New Roman" w:hAnsi="Times New Roman"/>
          <w:b/>
          <w:i w:val="false"/>
          <w:color w:val="000000"/>
          <w:sz w:val="22"/>
        </w:rPr>
        <w:t xml:space="preserve">Annual report. </w:t>
      </w:r>
      <w:r>
        <w:rPr>
          <w:rFonts w:ascii="Times New Roman" w:hAnsi="Times New Roman"/>
          <w:b w:val="false"/>
          <w:i w:val="false"/>
          <w:color w:val="000000"/>
          <w:sz w:val="22"/>
        </w:rPr>
        <w:t xml:space="preserve">Licensees must file with the superintendent an annual report as required by Iowa Code section </w:t>
      </w:r>
      <w:hyperlink r:id="rId24">
        <w:r>
          <w:rPr>
            <w:rStyle w:val="Hyperlink"/>
            <w:rFonts w:ascii="Times New Roman" w:hAnsi="Times New Roman"/>
            <w:b w:val="false"/>
            <w:i w:val="false"/>
            <w:color w:val="000000"/>
            <w:sz w:val="22"/>
          </w:rPr>
          <w:t>536.11(2)</w:t>
        </w:r>
      </w:hyperlink>
      <w:r>
        <w:rPr>
          <w:rFonts w:ascii="Times New Roman" w:hAnsi="Times New Roman"/>
          <w:b w:val="false"/>
          <w:i w:val="false"/>
          <w:color w:val="000000"/>
          <w:sz w:val="22"/>
        </w:rPr>
        <w:t>, and the superintendent may assess a late fee of $10 for each day a licensee’s annual report is delinquent. The information contained in the annual report is confidential, and the superintendent may publish the information only in aggregate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187—15.13</w:t>
      </w:r>
      <w:r>
        <w:rPr>
          <w:rFonts w:ascii="Times New Roman" w:hAnsi="Times New Roman"/>
          <w:b/>
          <w:i w:val="false"/>
          <w:color w:val="000000"/>
          <w:sz w:val="22"/>
        </w:rPr>
        <w:t xml:space="preserve">(17A,536) </w:t>
      </w:r>
      <w:r>
        <w:rPr>
          <w:rFonts w:ascii="Times New Roman" w:hAnsi="Times New Roman"/>
          <w:b/>
          <w:i w:val="false"/>
          <w:color w:val="000000"/>
          <w:sz w:val="22"/>
        </w:rPr>
        <w:t xml:space="preserve">Restrictions on making regulated loans. </w:t>
      </w:r>
      <w:r>
        <w:rPr>
          <w:rFonts w:ascii="Times New Roman" w:hAnsi="Times New Roman"/>
          <w:b w:val="false"/>
          <w:i w:val="false"/>
          <w:color w:val="000000"/>
          <w:sz w:val="22"/>
        </w:rPr>
        <w:t>The following restrictions apply to making regulated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A licensee has the authority to make and complete loans by mail, or by comparable electronic means, from the lender’s licensed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color w:val="000000"/>
          <w:sz w:val="22"/>
        </w:rPr>
        <w:t xml:space="preserve">Default charge. </w:t>
      </w:r>
      <w:r>
        <w:rPr>
          <w:rFonts w:ascii="Times New Roman" w:hAnsi="Times New Roman"/>
          <w:b w:val="false"/>
          <w:i w:val="false"/>
          <w:color w:val="000000"/>
          <w:sz w:val="22"/>
        </w:rPr>
        <w:t>Default charges are not to be collected if payment is made by a credit accident and health insurance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15.13(3)</w:t>
      </w:r>
      <w:r>
        <w:rPr>
          <w:rFonts w:ascii="Times New Roman" w:hAnsi="Times New Roman"/>
          <w:b w:val="false"/>
          <w:i w:val="false"/>
          <w:color w:val="000000"/>
          <w:sz w:val="22"/>
        </w:rPr>
        <w:t> </w:t>
      </w:r>
      <w:r>
        <w:rPr>
          <w:rFonts w:ascii="Times New Roman" w:hAnsi="Times New Roman"/>
          <w:b w:val="false"/>
          <w:i/>
          <w:color w:val="000000"/>
          <w:sz w:val="22"/>
        </w:rPr>
        <w:t xml:space="preserve">Branch locations. </w:t>
      </w:r>
      <w:r>
        <w:rPr>
          <w:rFonts w:ascii="Times New Roman" w:hAnsi="Times New Roman"/>
          <w:b w:val="false"/>
          <w:i w:val="false"/>
          <w:color w:val="000000"/>
          <w:sz w:val="22"/>
        </w:rPr>
        <w:t>Licensees cannot establish branch locations outside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3/13/68; amended 10/14/69; renumbered from Chapter 1, 7/1/75]</w:t>
      </w:r>
    </w:p>
    <w:p>
      <w:pPr>
        <w:spacing w:before="0" w:after="0"/>
        <w:ind w:left="120"/>
        <w:jc w:val="center"/>
      </w:pPr>
      <w:r>
        <w:rPr>
          <w:rFonts w:ascii="Times New Roman" w:hAnsi="Times New Roman"/>
          <w:b w:val="false"/>
          <w:i w:val="false"/>
          <w:color w:val="000000"/>
          <w:sz w:val="21"/>
        </w:rPr>
        <w:t>[Filed 3/16/79, Notice 2/7/79—published 4/4/79, effective 5/9/79]</w:t>
      </w:r>
    </w:p>
    <w:p>
      <w:pPr>
        <w:spacing w:before="0" w:after="0"/>
        <w:ind w:left="120"/>
        <w:jc w:val="center"/>
      </w:pPr>
      <w:r>
        <w:rPr>
          <w:rFonts w:ascii="Times New Roman" w:hAnsi="Times New Roman"/>
          <w:b w:val="false"/>
          <w:i w:val="false"/>
          <w:color w:val="000000"/>
          <w:sz w:val="21"/>
        </w:rPr>
        <w:t>[Filed 10/24/79, Notice 9/19/79—published 11/14/79, effective 1/1/80]</w:t>
      </w:r>
    </w:p>
    <w:p>
      <w:pPr>
        <w:spacing w:before="0" w:after="0"/>
        <w:ind w:left="120"/>
        <w:jc w:val="center"/>
      </w:pPr>
      <w:r>
        <w:rPr>
          <w:rFonts w:ascii="Times New Roman" w:hAnsi="Times New Roman"/>
          <w:b w:val="false"/>
          <w:i w:val="false"/>
          <w:color w:val="000000"/>
          <w:sz w:val="21"/>
        </w:rPr>
        <w:t>[Filed 6/4/80, Notice 4/30/80—published 6/25/80, effective 7/30/80]</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6/14/85—published 7/3/85, effective 7/15/85]</w:t>
      </w:r>
    </w:p>
    <w:p>
      <w:pPr>
        <w:spacing w:before="0" w:after="0"/>
        <w:ind w:left="120"/>
        <w:jc w:val="center"/>
      </w:pPr>
      <w:r>
        <w:rPr>
          <w:rFonts w:ascii="Times New Roman" w:hAnsi="Times New Roman"/>
          <w:b w:val="false"/>
          <w:i w:val="false"/>
          <w:color w:val="000000"/>
          <w:sz w:val="21"/>
        </w:rPr>
        <w:t>[Filed 12/13/85, Notice 9/11/85—published 1/1/86, effective 2/5/86]</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ARC 8236B</w:t>
      </w:r>
      <w:r>
        <w:rPr>
          <w:rFonts w:ascii="Times New Roman" w:hAnsi="Times New Roman"/>
          <w:b w:val="false"/>
          <w:i w:val="false"/>
          <w:color w:val="000000"/>
          <w:sz w:val="21"/>
        </w:rPr>
        <w:t xml:space="preserve"> (Notice ARC 8067B, IAB 8/26/09)</w:t>
      </w:r>
      <w:r>
        <w:rPr>
          <w:rFonts w:ascii="Times New Roman" w:hAnsi="Times New Roman"/>
          <w:b w:val="false"/>
          <w:i w:val="false"/>
          <w:color w:val="000000"/>
          <w:sz w:val="21"/>
        </w:rPr>
        <w:t>, IAB 10/21/09, effective 11/25/09]</w:t>
      </w:r>
    </w:p>
    <w:p>
      <w:pPr>
        <w:spacing w:before="0" w:after="0"/>
        <w:ind w:left="120"/>
        <w:jc w:val="center"/>
      </w:pPr>
      <w:r>
        <w:rPr>
          <w:rFonts w:ascii="Times New Roman" w:hAnsi="Times New Roman"/>
          <w:b w:val="false"/>
          <w:i w:val="false"/>
          <w:color w:val="000000"/>
          <w:sz w:val="21"/>
        </w:rPr>
        <w:t>[Filed ARC 3078C</w:t>
      </w:r>
      <w:r>
        <w:rPr>
          <w:rFonts w:ascii="Times New Roman" w:hAnsi="Times New Roman"/>
          <w:b w:val="false"/>
          <w:i w:val="false"/>
          <w:color w:val="000000"/>
          <w:sz w:val="21"/>
        </w:rPr>
        <w:t xml:space="preserve"> (Notice ARC 2994C, IAB 3/29/17)</w:t>
      </w:r>
      <w:r>
        <w:rPr>
          <w:rFonts w:ascii="Times New Roman" w:hAnsi="Times New Roman"/>
          <w:b w:val="false"/>
          <w:i w:val="false"/>
          <w:color w:val="000000"/>
          <w:sz w:val="21"/>
        </w:rPr>
        <w:t>, IAB 5/24/17, effective 7/1/17]</w:t>
      </w:r>
    </w:p>
    <w:p>
      <w:pPr>
        <w:spacing w:before="0" w:after="0"/>
        <w:ind w:left="120"/>
        <w:jc w:val="center"/>
      </w:pPr>
      <w:r>
        <w:rPr>
          <w:rFonts w:ascii="Times New Roman" w:hAnsi="Times New Roman"/>
          <w:b w:val="false"/>
          <w:i w:val="false"/>
          <w:color w:val="000000"/>
          <w:sz w:val="21"/>
        </w:rPr>
        <w:t>[Filed ARC 5090C</w:t>
      </w:r>
      <w:r>
        <w:rPr>
          <w:rFonts w:ascii="Times New Roman" w:hAnsi="Times New Roman"/>
          <w:b w:val="false"/>
          <w:i w:val="false"/>
          <w:color w:val="000000"/>
          <w:sz w:val="21"/>
        </w:rPr>
        <w:t xml:space="preserve"> (Notice ARC 4852C, IAB 1/15/20)</w:t>
      </w:r>
      <w:r>
        <w:rPr>
          <w:rFonts w:ascii="Times New Roman" w:hAnsi="Times New Roman"/>
          <w:b w:val="false"/>
          <w:i w:val="false"/>
          <w:color w:val="000000"/>
          <w:sz w:val="21"/>
        </w:rPr>
        <w:t>, IAB 7/15/20, effective 9/1/20]</w:t>
      </w:r>
    </w:p>
    <w:p>
      <w:pPr>
        <w:spacing w:before="0" w:after="0"/>
        <w:ind w:left="120"/>
        <w:jc w:val="center"/>
      </w:pPr>
      <w:r>
        <w:rPr>
          <w:rFonts w:ascii="Times New Roman" w:hAnsi="Times New Roman"/>
          <w:b w:val="false"/>
          <w:i w:val="false"/>
          <w:color w:val="000000"/>
          <w:sz w:val="21"/>
        </w:rPr>
        <w:t>[Filed ARC 0587D</w:t>
      </w:r>
      <w:r>
        <w:rPr>
          <w:rFonts w:ascii="Times New Roman" w:hAnsi="Times New Roman"/>
          <w:b w:val="false"/>
          <w:i w:val="false"/>
          <w:color w:val="000000"/>
          <w:sz w:val="21"/>
        </w:rPr>
        <w:t xml:space="preserve"> (Notice ARC 0358D, IAB 6/10/26)</w:t>
      </w:r>
      <w:r>
        <w:rPr>
          <w:rFonts w:ascii="Times New Roman" w:hAnsi="Times New Roman"/>
          <w:b w:val="false"/>
          <w:i w:val="false"/>
          <w:color w:val="000000"/>
          <w:sz w:val="21"/>
        </w:rPr>
        <w:t>, IAB 9/16/26, effective 10/21/26]</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6.pdf" Type="http://schemas.openxmlformats.org/officeDocument/2006/relationships/hyperlink" Id="rId5"/>
    <Relationship TargetMode="External" Target="https://www.legis.iowa.gov/docs/ico/chapter/535D.3.pdf" Type="http://schemas.openxmlformats.org/officeDocument/2006/relationships/hyperlink" Id="rId6"/>
    <Relationship TargetMode="External" Target="https://www.legis.iowa.gov/docs/ico/chapter/536.2.pdf" Type="http://schemas.openxmlformats.org/officeDocument/2006/relationships/hyperlink" Id="rId7"/>
    <Relationship TargetMode="External" Target="https://www.legis.iowa.gov/docs/ico/chapter/536.3.pdf" Type="http://schemas.openxmlformats.org/officeDocument/2006/relationships/hyperlink" Id="rId8"/>
    <Relationship TargetMode="External" Target="https://www.legis.iowa.gov/docs/ico/chapter/535D.3.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6.4.pdf" Type="http://schemas.openxmlformats.org/officeDocument/2006/relationships/hyperlink" Id="rId11"/>
    <Relationship TargetMode="External" Target="https://www.legis.iowa.gov/docs/ico/chapter/536.pdf" Type="http://schemas.openxmlformats.org/officeDocument/2006/relationships/hyperlink" Id="rId12"/>
    <Relationship TargetMode="External" Target="https://www.legis.iowa.gov/docs/ico/chapter/536.4.pdf" Type="http://schemas.openxmlformats.org/officeDocument/2006/relationships/hyperlink" Id="rId13"/>
    <Relationship TargetMode="External" Target="https://www.legis.iowa.gov/docs/iac/rule/187.15.4.pdf" Type="http://schemas.openxmlformats.org/officeDocument/2006/relationships/hyperlink" Id="rId14"/>
    <Relationship TargetMode="External" Target="https://www.legis.iowa.gov/docs/ico/chapter/536.pdf" Type="http://schemas.openxmlformats.org/officeDocument/2006/relationships/hyperlink" Id="rId15"/>
    <Relationship TargetMode="External" Target="https://www.legis.iowa.gov/docs/iac/rule/187.15.2.pdf" Type="http://schemas.openxmlformats.org/officeDocument/2006/relationships/hyperlink" Id="rId16"/>
    <Relationship TargetMode="External" Target="https://www.legis.iowa.gov/docs/iac/rule/187.15.9.pdf" Type="http://schemas.openxmlformats.org/officeDocument/2006/relationships/hyperlink" Id="rId17"/>
    <Relationship TargetMode="External" Target="https://www.legis.iowa.gov/docs/iac/rule/187.15.9.pdf" Type="http://schemas.openxmlformats.org/officeDocument/2006/relationships/hyperlink" Id="rId18"/>
    <Relationship TargetMode="External" Target="https://www.legis.iowa.gov/docs/ico/chapter/536.pdf" Type="http://schemas.openxmlformats.org/officeDocument/2006/relationships/hyperlink" Id="rId19"/>
    <Relationship TargetMode="External" Target="https://www.legis.iowa.gov/docs/ico/chapter/715A.8.pdf" Type="http://schemas.openxmlformats.org/officeDocument/2006/relationships/hyperlink" Id="rId20"/>
    <Relationship TargetMode="External" Target="https://www.legis.iowa.gov/docs/ico/chapter/536.10.pdf" Type="http://schemas.openxmlformats.org/officeDocument/2006/relationships/hyperlink" Id="rId21"/>
    <Relationship TargetMode="External" Target="https://www.legis.iowa.gov/docs/ico/chapter/536.9.pdf" Type="http://schemas.openxmlformats.org/officeDocument/2006/relationships/hyperlink" Id="rId22"/>
    <Relationship TargetMode="External" Target="https://www.legis.iowa.gov/docs/ico/chapter/536.9.pdf" Type="http://schemas.openxmlformats.org/officeDocument/2006/relationships/hyperlink" Id="rId23"/>
    <Relationship TargetMode="External" Target="https://www.legis.iowa.gov/docs/ico/chapter/536.11.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536.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