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DISCRIMINATION IN HOUSING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161—9.1</w:t>
      </w:r>
      <w:r>
        <w:rPr>
          <w:rFonts w:ascii="Times New Roman" w:hAnsi="Times New Roman"/>
          <w:b/>
          <w:i w:val="false"/>
          <w:color w:val="000000"/>
          <w:sz w:val="22"/>
        </w:rPr>
        <w:t xml:space="preserve">(216) </w:t>
      </w:r>
      <w:r>
        <w:rPr>
          <w:rFonts w:ascii="Times New Roman" w:hAnsi="Times New Roman"/>
          <w:b/>
          <w:i w:val="false"/>
          <w:color w:val="000000"/>
          <w:sz w:val="22"/>
        </w:rPr>
        <w:t xml:space="preserve">Construction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Limitation of chapter. </w:t>
      </w:r>
      <w:r>
        <w:rPr>
          <w:rFonts w:ascii="Times New Roman" w:hAnsi="Times New Roman"/>
          <w:b w:val="false"/>
          <w:i w:val="false"/>
          <w:color w:val="000000"/>
          <w:sz w:val="22"/>
        </w:rPr>
        <w:t>All the rules contained herein apply only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which allege a violation of the prohibitions contained in Iowa Code section </w:t>
      </w:r>
      <w:hyperlink r:id="rId5">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which allege a violation of Iowa Code section </w:t>
      </w:r>
      <w:hyperlink r:id="rId6">
        <w:r>
          <w:rPr>
            <w:rStyle w:val="Hyperlink"/>
            <w:rFonts w:ascii="Times New Roman" w:hAnsi="Times New Roman"/>
            <w:b w:val="false"/>
            <w:i w:val="false"/>
            <w:color w:val="000000"/>
            <w:sz w:val="22"/>
          </w:rPr>
          <w:t>216.11</w:t>
        </w:r>
      </w:hyperlink>
      <w:r>
        <w:rPr>
          <w:rFonts w:ascii="Times New Roman" w:hAnsi="Times New Roman"/>
          <w:b w:val="false"/>
          <w:i w:val="false"/>
          <w:color w:val="000000"/>
          <w:sz w:val="22"/>
        </w:rPr>
        <w:t xml:space="preserve"> or 216.11A arising out of alleged violations of the prohibitions contained in Iowa Code section </w:t>
      </w:r>
      <w:hyperlink r:id="rId7">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and the interpretation of the provisions of the Iowa Code which relate to such complaints or to unfair or discriminatory practices in the area of housing.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Conflicting rules. </w:t>
      </w:r>
      <w:r>
        <w:rPr>
          <w:rFonts w:ascii="Times New Roman" w:hAnsi="Times New Roman"/>
          <w:b w:val="false"/>
          <w:i w:val="false"/>
          <w:color w:val="000000"/>
          <w:sz w:val="22"/>
        </w:rPr>
        <w:t xml:space="preserve">Where a provision of this chapter applies under the terms of </w:t>
      </w:r>
      <w:hyperlink r:id="rId8">
        <w:r>
          <w:rPr>
            <w:rStyle w:val="Hyperlink"/>
            <w:rFonts w:ascii="Times New Roman" w:hAnsi="Times New Roman"/>
            <w:b w:val="false"/>
            <w:i w:val="false"/>
            <w:color w:val="000000"/>
            <w:sz w:val="22"/>
          </w:rPr>
          <w:t>subrule 9.1(1)</w:t>
        </w:r>
      </w:hyperlink>
      <w:r>
        <w:rPr>
          <w:rFonts w:ascii="Times New Roman" w:hAnsi="Times New Roman"/>
          <w:b w:val="false"/>
          <w:i w:val="false"/>
          <w:color w:val="000000"/>
          <w:sz w:val="22"/>
        </w:rPr>
        <w:t xml:space="preserve"> and that provision conflicts with a rule of the commission not contained within Chapter 9, then the provision contained within Chapter 9 shall prevail.</w:t>
      </w:r>
    </w:p>
    <w:p>
      <w:pPr>
        <w:spacing w:before="0" w:after="0"/>
        <w:ind w:left="120"/>
        <w:jc w:val="both"/>
      </w:pPr>
      <w:r>
        <w:rPr>
          <w:rFonts w:ascii="Times New Roman" w:hAnsi="Times New Roman"/>
          <w:b/>
          <w:i w:val="false"/>
          <w:color w:val="000000"/>
          <w:sz w:val="22"/>
        </w:rPr>
        <w:t>161—9.2</w:t>
      </w:r>
      <w:r>
        <w:rPr>
          <w:rFonts w:ascii="Times New Roman" w:hAnsi="Times New Roman"/>
          <w:b/>
          <w:i w:val="false"/>
          <w:color w:val="000000"/>
          <w:sz w:val="22"/>
        </w:rPr>
        <w:t xml:space="preserve">(216)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any complainants and respondents involved in the complaint of discrimination under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for discovery” </w:t>
      </w:r>
      <w:r>
        <w:rPr>
          <w:rFonts w:ascii="Times New Roman" w:hAnsi="Times New Roman"/>
          <w:b w:val="false"/>
          <w:i w:val="false"/>
          <w:color w:val="000000"/>
          <w:sz w:val="22"/>
        </w:rPr>
        <w:t>means an administrative law judge employed by the department of inspections and appeals and assigned to render decisions regarding discovery disputes arising in the course of civil rights commission investigations.</w:t>
      </w:r>
    </w:p>
    <w:p>
      <w:pPr>
        <w:spacing w:before="0" w:after="0"/>
        <w:ind w:left="120"/>
        <w:jc w:val="both"/>
      </w:pPr>
      <w:r>
        <w:rPr>
          <w:rFonts w:ascii="Times New Roman" w:hAnsi="Times New Roman"/>
          <w:b/>
          <w:i w:val="false"/>
          <w:color w:val="000000"/>
          <w:sz w:val="22"/>
        </w:rPr>
        <w:t>161—9.3</w:t>
      </w:r>
      <w:r>
        <w:rPr>
          <w:rFonts w:ascii="Times New Roman" w:hAnsi="Times New Roman"/>
          <w:b/>
          <w:i w:val="false"/>
          <w:color w:val="000000"/>
          <w:sz w:val="22"/>
        </w:rPr>
        <w:t xml:space="preserve">(216) </w:t>
      </w:r>
      <w:r>
        <w:rPr>
          <w:rFonts w:ascii="Times New Roman" w:hAnsi="Times New Roman"/>
          <w:b/>
          <w:i w:val="false"/>
          <w:color w:val="000000"/>
          <w:sz w:val="22"/>
        </w:rPr>
        <w:t xml:space="preserve">Interpretation of various housing provisions. </w:t>
      </w:r>
    </w:p>
    <w:p>
      <w:pPr>
        <w:spacing w:before="0" w:after="0"/>
        <w:ind w:left="120"/>
        <w:jc w:val="both"/>
      </w:pPr>
      <w:r>
        <w:rPr>
          <w:rFonts w:ascii="Times New Roman" w:hAnsi="Times New Roman"/>
          <w:b w:val="false"/>
          <w:i/>
          <w:color w:val="000000"/>
          <w:sz w:val="22"/>
        </w:rPr>
        <w:t>“Aggrieved person.”</w:t>
      </w:r>
      <w:r>
        <w:rPr>
          <w:rFonts w:ascii="Times New Roman" w:hAnsi="Times New Roman"/>
          <w:b w:val="false"/>
          <w:i w:val="false"/>
          <w:color w:val="000000"/>
          <w:sz w:val="22"/>
        </w:rPr>
        <w:t xml:space="preserve"> As used in the Iowa civil rights Act provisions relating to discrimination in housing, the term “aggrieved person” includes any person who claims to have been injured by a discriminatory housing practice, or any person who believes that that person will be injured by a discriminatory housing practice that is about to occur.</w:t>
      </w:r>
    </w:p>
    <w:p>
      <w:pPr>
        <w:spacing w:before="0" w:after="0"/>
        <w:ind w:left="120"/>
        <w:jc w:val="both"/>
      </w:pPr>
      <w:r>
        <w:rPr>
          <w:rFonts w:ascii="Times New Roman" w:hAnsi="Times New Roman"/>
          <w:b w:val="false"/>
          <w:i/>
          <w:color w:val="000000"/>
          <w:sz w:val="22"/>
        </w:rPr>
        <w:t>“Discriminatory housing or real estate practice.”</w:t>
      </w:r>
      <w:r>
        <w:rPr>
          <w:rFonts w:ascii="Times New Roman" w:hAnsi="Times New Roman"/>
          <w:b w:val="false"/>
          <w:i w:val="false"/>
          <w:color w:val="000000"/>
          <w:sz w:val="22"/>
        </w:rPr>
        <w:t xml:space="preserve"> A person who violates the prohibitions contained in Iowa Code section </w:t>
      </w:r>
      <w:hyperlink r:id="rId9">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commits an “unfair or discriminatory practice” in the area of housing or real estate. A person who commits a violation of Iowa Code section </w:t>
      </w:r>
      <w:hyperlink r:id="rId10">
        <w:r>
          <w:rPr>
            <w:rStyle w:val="Hyperlink"/>
            <w:rFonts w:ascii="Times New Roman" w:hAnsi="Times New Roman"/>
            <w:b w:val="false"/>
            <w:i w:val="false"/>
            <w:color w:val="000000"/>
            <w:sz w:val="22"/>
          </w:rPr>
          <w:t>216.11</w:t>
        </w:r>
      </w:hyperlink>
      <w:r>
        <w:rPr>
          <w:rFonts w:ascii="Times New Roman" w:hAnsi="Times New Roman"/>
          <w:b w:val="false"/>
          <w:i w:val="false"/>
          <w:color w:val="000000"/>
          <w:sz w:val="22"/>
        </w:rPr>
        <w:t xml:space="preserve"> or 216.11A arising out of alleged violations of the prohibitions contained in Iowa Code section </w:t>
      </w:r>
      <w:hyperlink r:id="rId11">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commits an “unfair or discriminatory practice” in the area of housing or real estate.</w:t>
      </w:r>
    </w:p>
    <w:p>
      <w:pPr>
        <w:spacing w:before="0" w:after="0"/>
        <w:ind w:left="120"/>
        <w:jc w:val="both"/>
      </w:pPr>
      <w:r>
        <w:rPr>
          <w:rFonts w:ascii="Times New Roman" w:hAnsi="Times New Roman"/>
          <w:b w:val="false"/>
          <w:i/>
          <w:color w:val="000000"/>
          <w:sz w:val="22"/>
        </w:rPr>
        <w:t>“Dwelling.”</w:t>
      </w:r>
      <w:r>
        <w:rPr>
          <w:rFonts w:ascii="Times New Roman" w:hAnsi="Times New Roman"/>
          <w:b w:val="false"/>
          <w:i w:val="false"/>
          <w:color w:val="000000"/>
          <w:sz w:val="22"/>
        </w:rPr>
        <w:t xml:space="preserve"> As used in Iowa Code chapter </w:t>
      </w:r>
      <w:hyperlink r:id="rId12">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term “dwelling” means any building, structure, or portion thereof which is occupied as, or designed or intended for occupancy as, a residence by one or more families, or any vacant land which is offered for sale or lease for the construction or location thereon of any such building, structure or portion thereof.</w:t>
      </w:r>
    </w:p>
    <w:p>
      <w:pPr>
        <w:spacing w:before="0" w:after="0"/>
        <w:ind w:left="120"/>
        <w:jc w:val="both"/>
      </w:pPr>
      <w:r>
        <w:rPr>
          <w:rFonts w:ascii="Times New Roman" w:hAnsi="Times New Roman"/>
          <w:b w:val="false"/>
          <w:i/>
          <w:color w:val="000000"/>
          <w:sz w:val="22"/>
        </w:rPr>
        <w:t>“Exceptions.”</w:t>
      </w:r>
      <w:r>
        <w:rPr>
          <w:rFonts w:ascii="Times New Roman" w:hAnsi="Times New Roman"/>
          <w:b w:val="false"/>
          <w:i w:val="false"/>
          <w:color w:val="000000"/>
          <w:sz w:val="22"/>
        </w:rPr>
        <w:t xml:space="preserve"> The exceptions found in Iowa Code sections </w:t>
      </w:r>
      <w:hyperlink r:id="rId13">
        <w:r>
          <w:rPr>
            <w:rStyle w:val="Hyperlink"/>
            <w:rFonts w:ascii="Times New Roman" w:hAnsi="Times New Roman"/>
            <w:b w:val="false"/>
            <w:i w:val="false"/>
            <w:color w:val="000000"/>
            <w:sz w:val="22"/>
          </w:rPr>
          <w:t>216.12(2)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216.12(3)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216.12(5)</w:t>
        </w:r>
      </w:hyperlink>
      <w:r>
        <w:rPr>
          <w:rFonts w:ascii="Times New Roman" w:hAnsi="Times New Roman"/>
          <w:b w:val="false"/>
          <w:i w:val="false"/>
          <w:color w:val="000000"/>
          <w:sz w:val="22"/>
        </w:rPr>
        <w:t xml:space="preserve"> do not apply to Iowa Code section </w:t>
      </w:r>
      <w:hyperlink r:id="rId16">
        <w:r>
          <w:rPr>
            <w:rStyle w:val="Hyperlink"/>
            <w:rFonts w:ascii="Times New Roman" w:hAnsi="Times New Roman"/>
            <w:b w:val="false"/>
            <w:i w:val="false"/>
            <w:color w:val="000000"/>
            <w:sz w:val="22"/>
          </w:rPr>
          <w:t>216.8(3)</w:t>
        </w:r>
      </w:hyperlink>
      <w:r>
        <w:rPr>
          <w:rFonts w:ascii="Times New Roman" w:hAnsi="Times New Roman"/>
          <w:b w:val="false"/>
          <w:i w:val="false"/>
          <w:color w:val="000000"/>
          <w:sz w:val="22"/>
        </w:rPr>
        <w:t xml:space="preserve"> relating to advertising.</w:t>
      </w:r>
    </w:p>
    <w:p>
      <w:pPr>
        <w:spacing w:before="0" w:after="0"/>
        <w:ind w:left="120"/>
        <w:jc w:val="both"/>
      </w:pPr>
      <w:r>
        <w:rPr>
          <w:rFonts w:ascii="Times New Roman" w:hAnsi="Times New Roman"/>
          <w:b w:val="false"/>
          <w:i/>
          <w:color w:val="000000"/>
          <w:sz w:val="22"/>
        </w:rPr>
        <w:t>“Handicap.”</w:t>
      </w:r>
      <w:r>
        <w:rPr>
          <w:rFonts w:ascii="Times New Roman" w:hAnsi="Times New Roman"/>
          <w:b w:val="false"/>
          <w:i w:val="false"/>
          <w:color w:val="000000"/>
          <w:sz w:val="22"/>
        </w:rPr>
        <w:t xml:space="preserve"> As used in Iowa Code section </w:t>
      </w:r>
      <w:hyperlink r:id="rId17">
        <w:r>
          <w:rPr>
            <w:rStyle w:val="Hyperlink"/>
            <w:rFonts w:ascii="Times New Roman" w:hAnsi="Times New Roman"/>
            <w:b w:val="false"/>
            <w:i w:val="false"/>
            <w:color w:val="000000"/>
            <w:sz w:val="22"/>
          </w:rPr>
          <w:t>216.2(5)</w:t>
        </w:r>
      </w:hyperlink>
      <w:r>
        <w:rPr>
          <w:rFonts w:ascii="Times New Roman" w:hAnsi="Times New Roman"/>
          <w:b w:val="false"/>
          <w:i w:val="false"/>
          <w:color w:val="000000"/>
          <w:sz w:val="22"/>
        </w:rPr>
        <w:t>, the term “handicap” with respect to a person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physical or mental impairment which substantially limits one or more of such person’s major life activities,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having such an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Being regarded as having such an impairment.</w:t>
      </w:r>
    </w:p>
    <w:p>
      <w:pPr>
        <w:spacing w:before="0" w:after="0"/>
        <w:ind w:left="120"/>
        <w:jc w:val="both"/>
      </w:pPr>
      <w:r>
        <w:rPr>
          <w:rFonts w:ascii="Times New Roman" w:hAnsi="Times New Roman"/>
          <w:b w:val="false"/>
          <w:i w:val="false"/>
          <w:color w:val="000000"/>
          <w:sz w:val="22"/>
        </w:rPr>
        <w:t>Such term does not include current, illegal use of or addiction to a controlled substance (as defined in Section 102 of the Controlled Substances Act, 21 U.S.C. 802).</w:t>
      </w:r>
    </w:p>
    <w:p>
      <w:pPr>
        <w:spacing w:before="0" w:after="0"/>
        <w:ind w:left="120"/>
        <w:jc w:val="both"/>
      </w:pPr>
      <w:r>
        <w:rPr>
          <w:rFonts w:ascii="Times New Roman" w:hAnsi="Times New Roman"/>
          <w:b w:val="false"/>
          <w:i/>
          <w:color w:val="000000"/>
          <w:sz w:val="22"/>
        </w:rPr>
        <w:t>“Housing accommodation.”</w:t>
      </w:r>
      <w:r>
        <w:rPr>
          <w:rFonts w:ascii="Times New Roman" w:hAnsi="Times New Roman"/>
          <w:b w:val="false"/>
          <w:i w:val="false"/>
          <w:color w:val="000000"/>
          <w:sz w:val="22"/>
        </w:rPr>
        <w:t xml:space="preserve"> As used in Iowa Code chapter </w:t>
      </w:r>
      <w:hyperlink r:id="rId18">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the term “housing accommodation” has the same meaning as is given the term “dwelling” in this rule.</w:t>
      </w:r>
    </w:p>
    <w:p>
      <w:pPr>
        <w:spacing w:before="0" w:after="0"/>
        <w:ind w:left="120"/>
        <w:jc w:val="both"/>
      </w:pPr>
      <w:r>
        <w:rPr>
          <w:rFonts w:ascii="Times New Roman" w:hAnsi="Times New Roman"/>
          <w:b w:val="false"/>
          <w:i/>
          <w:color w:val="000000"/>
          <w:sz w:val="22"/>
        </w:rPr>
        <w:t>“Housing for older persons.”</w:t>
      </w:r>
      <w:r>
        <w:rPr>
          <w:rFonts w:ascii="Times New Roman" w:hAnsi="Times New Roman"/>
          <w:b w:val="false"/>
          <w:i w:val="false"/>
          <w:color w:val="000000"/>
          <w:sz w:val="22"/>
        </w:rPr>
        <w:t xml:space="preserve"> The exception found in Iowa Code section </w:t>
      </w:r>
      <w:hyperlink r:id="rId19">
        <w:r>
          <w:rPr>
            <w:rStyle w:val="Hyperlink"/>
            <w:rFonts w:ascii="Times New Roman" w:hAnsi="Times New Roman"/>
            <w:b w:val="false"/>
            <w:i w:val="false"/>
            <w:color w:val="000000"/>
            <w:sz w:val="22"/>
          </w:rPr>
          <w:t>216.12(4)</w:t>
        </w:r>
      </w:hyperlink>
      <w:r>
        <w:rPr>
          <w:rFonts w:ascii="Times New Roman" w:hAnsi="Times New Roman"/>
          <w:b w:val="false"/>
          <w:i w:val="false"/>
          <w:color w:val="000000"/>
          <w:sz w:val="22"/>
        </w:rPr>
        <w:t xml:space="preserve"> is limited to discrimination based upon “familial status.”</w:t>
      </w:r>
    </w:p>
    <w:p>
      <w:pPr>
        <w:spacing w:before="0" w:after="0"/>
        <w:ind w:left="120"/>
        <w:jc w:val="both"/>
      </w:pPr>
      <w:r>
        <w:rPr>
          <w:rFonts w:ascii="Times New Roman" w:hAnsi="Times New Roman"/>
          <w:b w:val="false"/>
          <w:i/>
          <w:color w:val="000000"/>
          <w:sz w:val="22"/>
        </w:rPr>
        <w:t xml:space="preserve">Iowa Code section </w:t>
      </w:r>
      <w:hyperlink r:id="rId20">
        <w:r>
          <w:rPr>
            <w:rStyle w:val="Hyperlink"/>
            <w:rFonts w:ascii="Times New Roman" w:hAnsi="Times New Roman"/>
            <w:b w:val="false"/>
            <w:i/>
            <w:color w:val="000000"/>
            <w:sz w:val="22"/>
          </w:rPr>
          <w:t>216.15A(10)</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word “continued” as used in this paragraph means “carried on or kept up without cessation.” This paragraph does not refer to the adjournment or postponement of a hearing to a subsequent date or time.</w:t>
      </w:r>
    </w:p>
    <w:p>
      <w:pPr>
        <w:spacing w:before="0" w:after="0"/>
        <w:ind w:left="120"/>
        <w:jc w:val="both"/>
      </w:pPr>
      <w:r>
        <w:rPr>
          <w:rFonts w:ascii="Times New Roman" w:hAnsi="Times New Roman"/>
          <w:b w:val="false"/>
          <w:i/>
          <w:color w:val="000000"/>
          <w:sz w:val="22"/>
        </w:rPr>
        <w:t xml:space="preserve">Iowa Code section </w:t>
      </w:r>
      <w:hyperlink r:id="rId21">
        <w:r>
          <w:rPr>
            <w:rStyle w:val="Hyperlink"/>
            <w:rFonts w:ascii="Times New Roman" w:hAnsi="Times New Roman"/>
            <w:b w:val="false"/>
            <w:i/>
            <w:color w:val="000000"/>
            <w:sz w:val="22"/>
          </w:rPr>
          <w:t>216.16A(1)</w:t>
        </w:r>
      </w:hyperlink>
      <w:r>
        <w:rPr>
          <w:rFonts w:ascii="Times New Roman" w:hAnsi="Times New Roman"/>
          <w:b w:val="false"/>
          <w:i/>
          <w:color w:val="000000"/>
          <w:sz w:val="22"/>
        </w:rPr>
        <w:t>“a.”</w:t>
      </w:r>
      <w:r>
        <w:rPr>
          <w:rFonts w:ascii="Times New Roman" w:hAnsi="Times New Roman"/>
          <w:b w:val="false"/>
          <w:i w:val="false"/>
          <w:color w:val="000000"/>
          <w:sz w:val="22"/>
        </w:rPr>
        <w:t xml:space="preserve"> Election to proceed in court. The election to have the charges of a complaint decided in a civil action as provided in Iowa Code section </w:t>
      </w:r>
      <w:hyperlink r:id="rId22">
        <w:r>
          <w:rPr>
            <w:rStyle w:val="Hyperlink"/>
            <w:rFonts w:ascii="Times New Roman" w:hAnsi="Times New Roman"/>
            <w:b w:val="false"/>
            <w:i w:val="false"/>
            <w:color w:val="000000"/>
            <w:sz w:val="22"/>
          </w:rPr>
          <w:t>216.16A(1)</w:t>
        </w:r>
      </w:hyperlink>
      <w:r>
        <w:rPr>
          <w:rFonts w:ascii="Times New Roman" w:hAnsi="Times New Roman"/>
          <w:b w:val="false"/>
          <w:i/>
          <w:color w:val="000000"/>
          <w:sz w:val="22"/>
        </w:rPr>
        <w:t>“a”</w:t>
      </w:r>
      <w:r>
        <w:rPr>
          <w:rFonts w:ascii="Times New Roman" w:hAnsi="Times New Roman"/>
          <w:b w:val="false"/>
          <w:i w:val="false"/>
          <w:color w:val="000000"/>
          <w:sz w:val="22"/>
        </w:rPr>
        <w:t xml:space="preserve"> is only available where: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It is alleged that there has been a violation of some portion of Iowa Code section </w:t>
      </w:r>
      <w:hyperlink r:id="rId23">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It is alleged that there has been a violation of Iowa Code section </w:t>
      </w:r>
      <w:hyperlink r:id="rId24">
        <w:r>
          <w:rPr>
            <w:rStyle w:val="Hyperlink"/>
            <w:rFonts w:ascii="Times New Roman" w:hAnsi="Times New Roman"/>
            <w:b w:val="false"/>
            <w:i w:val="false"/>
            <w:color w:val="000000"/>
            <w:sz w:val="22"/>
          </w:rPr>
          <w:t>216.11</w:t>
        </w:r>
      </w:hyperlink>
      <w:r>
        <w:rPr>
          <w:rFonts w:ascii="Times New Roman" w:hAnsi="Times New Roman"/>
          <w:b w:val="false"/>
          <w:i w:val="false"/>
          <w:color w:val="000000"/>
          <w:sz w:val="22"/>
        </w:rPr>
        <w:t xml:space="preserve"> or 216.11A arising out of alleged violations of the prohibitions contained in Iowa Code section </w:t>
      </w:r>
      <w:hyperlink r:id="rId25">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w:t>
      </w:r>
    </w:p>
    <w:p>
      <w:pPr>
        <w:spacing w:before="0" w:after="0"/>
        <w:ind w:left="120"/>
        <w:jc w:val="both"/>
      </w:pPr>
      <w:r>
        <w:rPr>
          <w:rFonts w:ascii="Times New Roman" w:hAnsi="Times New Roman"/>
          <w:b w:val="false"/>
          <w:i/>
          <w:color w:val="000000"/>
          <w:sz w:val="22"/>
        </w:rPr>
        <w:t xml:space="preserve">Iowa Code section </w:t>
      </w:r>
      <w:hyperlink r:id="rId26">
        <w:r>
          <w:rPr>
            <w:rStyle w:val="Hyperlink"/>
            <w:rFonts w:ascii="Times New Roman" w:hAnsi="Times New Roman"/>
            <w:b w:val="false"/>
            <w:i/>
            <w:color w:val="000000"/>
            <w:sz w:val="22"/>
          </w:rPr>
          <w:t>216.16A(2)</w:t>
        </w:r>
      </w:hyperlink>
      <w:r>
        <w:rPr>
          <w:rFonts w:ascii="Times New Roman" w:hAnsi="Times New Roman"/>
          <w:b w:val="false"/>
          <w:i/>
          <w:color w:val="000000"/>
          <w:sz w:val="22"/>
        </w:rPr>
        <w:t>.</w:t>
      </w:r>
      <w:r>
        <w:rPr>
          <w:rFonts w:ascii="Times New Roman" w:hAnsi="Times New Roman"/>
          <w:b w:val="false"/>
          <w:i w:val="false"/>
          <w:color w:val="000000"/>
          <w:sz w:val="22"/>
        </w:rPr>
        <w:t xml:space="preserve"> The phrase “mediation agreement” in Iowa Code section </w:t>
      </w:r>
      <w:hyperlink r:id="rId27">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refers to the agreement described in Iowa Code section </w:t>
      </w:r>
      <w:hyperlink r:id="rId28">
        <w:r>
          <w:rPr>
            <w:rStyle w:val="Hyperlink"/>
            <w:rFonts w:ascii="Times New Roman" w:hAnsi="Times New Roman"/>
            <w:b w:val="false"/>
            <w:i w:val="false"/>
            <w:color w:val="000000"/>
            <w:sz w:val="22"/>
          </w:rPr>
          <w:t>216.15A(2)</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color w:val="000000"/>
          <w:sz w:val="22"/>
        </w:rPr>
        <w:t>“Person.”</w:t>
      </w:r>
      <w:r>
        <w:rPr>
          <w:rFonts w:ascii="Times New Roman" w:hAnsi="Times New Roman"/>
          <w:b w:val="false"/>
          <w:i w:val="false"/>
          <w:color w:val="000000"/>
          <w:sz w:val="22"/>
        </w:rPr>
        <w:t xml:space="preserve"> As used in the Iowa civil rights Act provisions relating to discrimination in housing, the term “person” includes one or more individuals, corporations, partnerships, associations, labor organizations, legal representatives, mutual companies, joint stock companies, trusts, unincorporated organizations, trustees, trustees in cases under Title 11 of the United States Code, receivers, and fiduciaries. The specific inclusion of an individual or entity within this definition of “person” does not imply that that individual or entity is excluded from the definition of “person” in Iowa Code section </w:t>
      </w:r>
      <w:hyperlink r:id="rId29">
        <w:r>
          <w:rPr>
            <w:rStyle w:val="Hyperlink"/>
            <w:rFonts w:ascii="Times New Roman" w:hAnsi="Times New Roman"/>
            <w:b w:val="false"/>
            <w:i w:val="false"/>
            <w:color w:val="000000"/>
            <w:sz w:val="22"/>
          </w:rPr>
          <w:t>216.2(11)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Referral and deferral to local agencies in housing cases.</w:t>
      </w:r>
      <w:r>
        <w:rPr>
          <w:rFonts w:ascii="Times New Roman" w:hAnsi="Times New Roman"/>
          <w:b w:val="false"/>
          <w:i w:val="false"/>
          <w:color w:val="000000"/>
          <w:sz w:val="22"/>
        </w:rPr>
        <w:t xml:space="preserve"> If a complaint alleges either a violation of the prohibitions contained in Iowa Code section </w:t>
      </w:r>
      <w:hyperlink r:id="rId30">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or a violation of Iowa Code section </w:t>
      </w:r>
      <w:hyperlink r:id="rId31">
        <w:r>
          <w:rPr>
            <w:rStyle w:val="Hyperlink"/>
            <w:rFonts w:ascii="Times New Roman" w:hAnsi="Times New Roman"/>
            <w:b w:val="false"/>
            <w:i w:val="false"/>
            <w:color w:val="000000"/>
            <w:sz w:val="22"/>
          </w:rPr>
          <w:t>216.11</w:t>
        </w:r>
      </w:hyperlink>
      <w:r>
        <w:rPr>
          <w:rFonts w:ascii="Times New Roman" w:hAnsi="Times New Roman"/>
          <w:b w:val="false"/>
          <w:i w:val="false"/>
          <w:color w:val="000000"/>
          <w:sz w:val="22"/>
        </w:rPr>
        <w:t xml:space="preserve"> or 216.11A arising out of alleged violations of the prohibitions contained in Iowa Code section </w:t>
      </w:r>
      <w:hyperlink r:id="rId32">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then deferral and referral of that complaint to a local commission are governed by the provisions of Iowa Code section </w:t>
      </w:r>
      <w:hyperlink r:id="rId33">
        <w:r>
          <w:rPr>
            <w:rStyle w:val="Hyperlink"/>
            <w:rFonts w:ascii="Times New Roman" w:hAnsi="Times New Roman"/>
            <w:b w:val="false"/>
            <w:i w:val="false"/>
            <w:color w:val="000000"/>
            <w:sz w:val="22"/>
          </w:rPr>
          <w:t>216.5(14)</w:t>
        </w:r>
      </w:hyperlink>
      <w:r>
        <w:rPr>
          <w:rFonts w:ascii="Times New Roman" w:hAnsi="Times New Roman"/>
          <w:b w:val="false"/>
          <w:i w:val="false"/>
          <w:color w:val="000000"/>
          <w:sz w:val="22"/>
        </w:rPr>
        <w:t xml:space="preserve"> and that section takes precedence over Iowa Code section </w:t>
      </w:r>
      <w:hyperlink r:id="rId34">
        <w:r>
          <w:rPr>
            <w:rStyle w:val="Hyperlink"/>
            <w:rFonts w:ascii="Times New Roman" w:hAnsi="Times New Roman"/>
            <w:b w:val="false"/>
            <w:i w:val="false"/>
            <w:color w:val="000000"/>
            <w:sz w:val="22"/>
          </w:rPr>
          <w:t>216.19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161—9.4</w:t>
      </w:r>
      <w:r>
        <w:rPr>
          <w:rFonts w:ascii="Times New Roman" w:hAnsi="Times New Roman"/>
          <w:b/>
          <w:i w:val="false"/>
          <w:color w:val="000000"/>
          <w:sz w:val="22"/>
        </w:rPr>
        <w:t xml:space="preserve">(216) </w:t>
      </w:r>
      <w:r>
        <w:rPr>
          <w:rFonts w:ascii="Times New Roman" w:hAnsi="Times New Roman"/>
          <w:b/>
          <w:i w:val="false"/>
          <w:color w:val="000000"/>
          <w:sz w:val="22"/>
        </w:rPr>
        <w:t xml:space="preserve">Interpretation of provisions affecting court actions regarding alleged discriminatory housing or real estate practices occurring after July 1, 1991.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of rule. </w:t>
      </w:r>
      <w:r>
        <w:rPr>
          <w:rFonts w:ascii="Times New Roman" w:hAnsi="Times New Roman"/>
          <w:b w:val="false"/>
          <w:i w:val="false"/>
          <w:color w:val="000000"/>
          <w:sz w:val="22"/>
        </w:rPr>
        <w:t>This rule applies only to alleged discriminatory housing or real estate practices occurring after July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Aggrieved person’s direct action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complaint not necessary. </w:t>
      </w:r>
      <w:r>
        <w:rPr>
          <w:rFonts w:ascii="Times New Roman" w:hAnsi="Times New Roman"/>
          <w:b w:val="false"/>
          <w:i w:val="false"/>
          <w:color w:val="000000"/>
          <w:sz w:val="22"/>
        </w:rPr>
        <w:t xml:space="preserve">A complaint which alleges either (1) a violation of the prohibitions contained in Iowa Code section </w:t>
      </w:r>
      <w:hyperlink r:id="rId35">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or (2) a violation of Iowa Code section </w:t>
      </w:r>
      <w:hyperlink r:id="rId36">
        <w:r>
          <w:rPr>
            <w:rStyle w:val="Hyperlink"/>
            <w:rFonts w:ascii="Times New Roman" w:hAnsi="Times New Roman"/>
            <w:b w:val="false"/>
            <w:i w:val="false"/>
            <w:color w:val="000000"/>
            <w:sz w:val="22"/>
          </w:rPr>
          <w:t>216.11</w:t>
        </w:r>
      </w:hyperlink>
      <w:r>
        <w:rPr>
          <w:rFonts w:ascii="Times New Roman" w:hAnsi="Times New Roman"/>
          <w:b w:val="false"/>
          <w:i w:val="false"/>
          <w:color w:val="000000"/>
          <w:sz w:val="22"/>
        </w:rPr>
        <w:t xml:space="preserve"> or 216.11A arising out of alleged violations of the prohibitions contained in Iowa Code section </w:t>
      </w:r>
      <w:hyperlink r:id="rId37">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or 216.8A need not be filed with the commission in order for an aggrieved person to seek judicial remedies for that alleged violation. An aggrieved person may file an action alleging such violations directly in district court pursuant to Iowa Code section </w:t>
      </w:r>
      <w:hyperlink r:id="rId38">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of commission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status of commission processing of a complaint alleging a discriminatory housing or real estate practice does not affect the rights of an aggrieved party to file a civil action under Iowa Code section </w:t>
      </w:r>
      <w:hyperlink r:id="rId39">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based on that same or any other alleged discriminatory housing or real estate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Exceptions. Commission processing will bar an aggrieved person from filing a civil action under Iowa Code section </w:t>
      </w:r>
      <w:hyperlink r:id="rId40">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based on an alleged discriminatory housing or real estate practice only where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commission has obtained a mediation agreement with the consent of that aggrieved person regarding that alleged discriminatory housing or real estate practice,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commission has begun a contested case hearing on the record regarding that same alleged discriminatory housing or real estate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commission. </w:t>
      </w:r>
      <w:r>
        <w:rPr>
          <w:rFonts w:ascii="Times New Roman" w:hAnsi="Times New Roman"/>
          <w:b w:val="false"/>
          <w:i w:val="false"/>
          <w:color w:val="000000"/>
          <w:sz w:val="22"/>
        </w:rPr>
        <w:t xml:space="preserve">If a person has filed a complaint alleging a discriminatory housing or real estate practice with the commission and that person subsequently commences a civil action under Iowa Code section </w:t>
      </w:r>
      <w:hyperlink r:id="rId41">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based on that same alleged discriminatory housing or real estate practice, the aggrieved person is encouraged to immediately notify the Iowa civil rights commission of the filing of the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 xml:space="preserve">In an action filed directly in district court pursuant to Iowa Code section </w:t>
      </w:r>
      <w:hyperlink r:id="rId42">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the court may, upon a finding of discrimination, order any of the remedies provided for in Iowa Code section </w:t>
      </w:r>
      <w:hyperlink r:id="rId43">
        <w:r>
          <w:rPr>
            <w:rStyle w:val="Hyperlink"/>
            <w:rFonts w:ascii="Times New Roman" w:hAnsi="Times New Roman"/>
            <w:b w:val="false"/>
            <w:i w:val="false"/>
            <w:color w:val="000000"/>
            <w:sz w:val="22"/>
          </w:rPr>
          <w:t>216.17A(6)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Election to proceed in district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An aggrieved person on whose behalf a complaint was filed, a complainant, or a respondent may, pursuant to Iowa Code section </w:t>
      </w:r>
      <w:hyperlink r:id="rId44">
        <w:r>
          <w:rPr>
            <w:rStyle w:val="Hyperlink"/>
            <w:rFonts w:ascii="Times New Roman" w:hAnsi="Times New Roman"/>
            <w:b w:val="false"/>
            <w:i w:val="false"/>
            <w:color w:val="000000"/>
            <w:sz w:val="22"/>
          </w:rPr>
          <w:t>216.16A(1)</w:t>
        </w:r>
      </w:hyperlink>
      <w:r>
        <w:rPr>
          <w:rFonts w:ascii="Times New Roman" w:hAnsi="Times New Roman"/>
          <w:b w:val="false"/>
          <w:i w:val="false"/>
          <w:color w:val="000000"/>
          <w:sz w:val="22"/>
        </w:rPr>
        <w:t>, elect to have the allegations asserted in the complaint decided in a civil action in district court. An election is made by filing a written notice of election with the commission. The date of filing of an election is the date the election is received by the commission at its offices in Des Moines. If such an election is made, the commission shall authorize and, within 30 days of the election, the attorney general shall file a civil action in district court on behalf of the aggrieved person. Failure to file within the 30-day period shall not, by itself, prejudice the rights of any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An election made under the previous paragraph must be made within 20 days of the receipt by the electing person of the determination of probable cause. The date of election is the date that the written notice of elections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Probable cause determination a prerequisite. </w:t>
      </w:r>
      <w:r>
        <w:rPr>
          <w:rFonts w:ascii="Times New Roman" w:hAnsi="Times New Roman"/>
          <w:b w:val="false"/>
          <w:i w:val="false"/>
          <w:color w:val="000000"/>
          <w:sz w:val="22"/>
        </w:rPr>
        <w:t xml:space="preserve">No person may make an election pursuant to Iowa Code section </w:t>
      </w:r>
      <w:hyperlink r:id="rId45">
        <w:r>
          <w:rPr>
            <w:rStyle w:val="Hyperlink"/>
            <w:rFonts w:ascii="Times New Roman" w:hAnsi="Times New Roman"/>
            <w:b w:val="false"/>
            <w:i w:val="false"/>
            <w:color w:val="000000"/>
            <w:sz w:val="22"/>
          </w:rPr>
          <w:t>216.16A(1)</w:t>
        </w:r>
      </w:hyperlink>
      <w:r>
        <w:rPr>
          <w:rFonts w:ascii="Times New Roman" w:hAnsi="Times New Roman"/>
          <w:b w:val="false"/>
          <w:i w:val="false"/>
          <w:color w:val="000000"/>
          <w:sz w:val="22"/>
        </w:rPr>
        <w:t xml:space="preserve"> until the commission has found probable cause regarding the complaint which is the subject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Notice required. </w:t>
      </w:r>
      <w:r>
        <w:rPr>
          <w:rFonts w:ascii="Times New Roman" w:hAnsi="Times New Roman"/>
          <w:b w:val="false"/>
          <w:i w:val="false"/>
          <w:color w:val="000000"/>
          <w:sz w:val="22"/>
        </w:rPr>
        <w:t xml:space="preserve">An election to proceed in district court made under Iowa Code section </w:t>
      </w:r>
      <w:hyperlink r:id="rId46">
        <w:r>
          <w:rPr>
            <w:rStyle w:val="Hyperlink"/>
            <w:rFonts w:ascii="Times New Roman" w:hAnsi="Times New Roman"/>
            <w:b w:val="false"/>
            <w:i w:val="false"/>
            <w:color w:val="000000"/>
            <w:sz w:val="22"/>
          </w:rPr>
          <w:t>216.16A(1)</w:t>
        </w:r>
      </w:hyperlink>
      <w:r>
        <w:rPr>
          <w:rFonts w:ascii="Times New Roman" w:hAnsi="Times New Roman"/>
          <w:b w:val="false"/>
          <w:i w:val="false"/>
          <w:color w:val="000000"/>
          <w:sz w:val="22"/>
        </w:rPr>
        <w:t xml:space="preserve"> is effective only if the electing person gives notice of the election to the commission and all other complainants and respondents to whom the election relates. Such notice shall be in writing, shall be delivered at the time the election is made, and may be made by regular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Once the commission commences an action in district court pursuant to Iowa Code section </w:t>
      </w:r>
      <w:hyperlink r:id="rId47">
        <w:r>
          <w:rPr>
            <w:rStyle w:val="Hyperlink"/>
            <w:rFonts w:ascii="Times New Roman" w:hAnsi="Times New Roman"/>
            <w:b w:val="false"/>
            <w:i w:val="false"/>
            <w:color w:val="000000"/>
            <w:sz w:val="22"/>
          </w:rPr>
          <w:t>216.17A(1)</w:t>
        </w:r>
      </w:hyperlink>
      <w:r>
        <w:rPr>
          <w:rFonts w:ascii="Times New Roman" w:hAnsi="Times New Roman"/>
          <w:b w:val="false"/>
          <w:i w:val="false"/>
          <w:color w:val="000000"/>
          <w:sz w:val="22"/>
        </w:rPr>
        <w:t xml:space="preserve"> an aggrieved person may intervene in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Right-to-sue letter inapplicable. </w:t>
      </w:r>
      <w:r>
        <w:rPr>
          <w:rFonts w:ascii="Times New Roman" w:hAnsi="Times New Roman"/>
          <w:b w:val="false"/>
          <w:i w:val="false"/>
          <w:color w:val="000000"/>
          <w:sz w:val="22"/>
        </w:rPr>
        <w:t xml:space="preserve">A complainant need not, and should not, request a right-to-sue letter in order to file a civil action under Iowa Code section </w:t>
      </w:r>
      <w:hyperlink r:id="rId48">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or to make an election as provided in Iowa Code section </w:t>
      </w:r>
      <w:hyperlink r:id="rId49">
        <w:r>
          <w:rPr>
            <w:rStyle w:val="Hyperlink"/>
            <w:rFonts w:ascii="Times New Roman" w:hAnsi="Times New Roman"/>
            <w:b w:val="false"/>
            <w:i w:val="false"/>
            <w:color w:val="000000"/>
            <w:sz w:val="22"/>
          </w:rPr>
          <w:t>216.16A(1)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9.4(5)</w:t>
      </w:r>
      <w:r>
        <w:rPr>
          <w:rFonts w:ascii="Times New Roman" w:hAnsi="Times New Roman"/>
          <w:b w:val="false"/>
          <w:i w:val="false"/>
          <w:color w:val="000000"/>
          <w:sz w:val="22"/>
        </w:rPr>
        <w:t> </w:t>
      </w:r>
      <w:r>
        <w:rPr>
          <w:rFonts w:ascii="Times New Roman" w:hAnsi="Times New Roman"/>
          <w:b w:val="false"/>
          <w:i/>
          <w:color w:val="000000"/>
          <w:sz w:val="22"/>
        </w:rPr>
        <w:t xml:space="preserve">Appointment of attorney by court. </w:t>
      </w:r>
      <w:r>
        <w:rPr>
          <w:rFonts w:ascii="Times New Roman" w:hAnsi="Times New Roman"/>
          <w:b w:val="false"/>
          <w:i w:val="false"/>
          <w:color w:val="000000"/>
          <w:sz w:val="22"/>
        </w:rPr>
        <w:t>Upon application by a person alleging a discriminatory housing practice or a person against whom such a practice is alleged, the court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Appoint an attorney for the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the commencement or continuation of a civil action under Iowa Code section </w:t>
      </w:r>
      <w:hyperlink r:id="rId50">
        <w:r>
          <w:rPr>
            <w:rStyle w:val="Hyperlink"/>
            <w:rFonts w:ascii="Times New Roman" w:hAnsi="Times New Roman"/>
            <w:b w:val="false"/>
            <w:i w:val="false"/>
            <w:color w:val="000000"/>
            <w:sz w:val="22"/>
          </w:rPr>
          <w:t>216.16A(2)</w:t>
        </w:r>
      </w:hyperlink>
      <w:r>
        <w:rPr>
          <w:rFonts w:ascii="Times New Roman" w:hAnsi="Times New Roman"/>
          <w:b w:val="false"/>
          <w:i w:val="false"/>
          <w:color w:val="000000"/>
          <w:sz w:val="22"/>
        </w:rPr>
        <w:t xml:space="preserve"> without the payment of fees, costs, or security if, in the opinion of the court, the person is financially unable to bear the costs of such action.</w:t>
      </w:r>
    </w:p>
    <w:p>
      <w:pPr>
        <w:spacing w:before="0" w:after="0"/>
        <w:ind w:left="120"/>
        <w:jc w:val="both"/>
      </w:pPr>
      <w:r>
        <w:rPr>
          <w:rFonts w:ascii="Times New Roman" w:hAnsi="Times New Roman"/>
          <w:b/>
          <w:i w:val="false"/>
          <w:color w:val="000000"/>
          <w:sz w:val="22"/>
        </w:rPr>
        <w:t>161—9.5</w:t>
      </w:r>
      <w:r>
        <w:rPr>
          <w:rFonts w:ascii="Times New Roman" w:hAnsi="Times New Roman"/>
          <w:b/>
          <w:i w:val="false"/>
          <w:color w:val="000000"/>
          <w:sz w:val="22"/>
        </w:rPr>
        <w:t xml:space="preserve">(216) </w:t>
      </w:r>
      <w:r>
        <w:rPr>
          <w:rFonts w:ascii="Times New Roman" w:hAnsi="Times New Roman"/>
          <w:b/>
          <w:i w:val="false"/>
          <w:color w:val="000000"/>
          <w:sz w:val="22"/>
        </w:rPr>
        <w:t xml:space="preserve">Commission procedures regarding complaints based on alleged unfair or discriminatory practices occurring after July 1, 1991.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Time limitation of rule. </w:t>
      </w:r>
      <w:r>
        <w:rPr>
          <w:rFonts w:ascii="Times New Roman" w:hAnsi="Times New Roman"/>
          <w:b w:val="false"/>
          <w:i w:val="false"/>
          <w:color w:val="000000"/>
          <w:sz w:val="22"/>
        </w:rPr>
        <w:t>This rule applies only to alleged discriminatory housing or real estate practices occurring after July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Time limit for administrative complaint. </w:t>
      </w:r>
      <w:r>
        <w:rPr>
          <w:rFonts w:ascii="Times New Roman" w:hAnsi="Times New Roman"/>
          <w:b w:val="false"/>
          <w:i w:val="false"/>
          <w:color w:val="000000"/>
          <w:sz w:val="22"/>
        </w:rPr>
        <w:t xml:space="preserve">A complaint which alleges a discriminatory housing or real estate practice is governed by the 300-day time limit provided in 2009 Iowa Code Supplement section </w:t>
      </w:r>
      <w:hyperlink r:id="rId51">
        <w:r>
          <w:rPr>
            <w:rStyle w:val="Hyperlink"/>
            <w:rFonts w:ascii="Times New Roman" w:hAnsi="Times New Roman"/>
            <w:b w:val="false"/>
            <w:i w:val="false"/>
            <w:color w:val="000000"/>
            <w:sz w:val="22"/>
          </w:rPr>
          <w:t>216.15(13)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color w:val="000000"/>
          <w:sz w:val="22"/>
        </w:rPr>
        <w:t xml:space="preserve">Processing of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Upon the filing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later than ten days after such filing or the identification of an additional respondent under </w:t>
      </w:r>
      <w:hyperlink r:id="rId52">
        <w:r>
          <w:rPr>
            <w:rStyle w:val="Hyperlink"/>
            <w:rFonts w:ascii="Times New Roman" w:hAnsi="Times New Roman"/>
            <w:b w:val="false"/>
            <w:i w:val="false"/>
            <w:color w:val="000000"/>
            <w:sz w:val="22"/>
          </w:rPr>
          <w:t>9.5(3)</w:t>
        </w:r>
      </w:hyperlink>
      <w:r>
        <w:rPr>
          <w:rFonts w:ascii="Times New Roman" w:hAnsi="Times New Roman"/>
          <w:b w:val="false"/>
          <w:i/>
          <w:color w:val="000000"/>
          <w:sz w:val="22"/>
        </w:rPr>
        <w:t>“d,”</w:t>
      </w:r>
      <w:r>
        <w:rPr>
          <w:rFonts w:ascii="Times New Roman" w:hAnsi="Times New Roman"/>
          <w:b w:val="false"/>
          <w:i w:val="false"/>
          <w:color w:val="000000"/>
          <w:sz w:val="22"/>
        </w:rPr>
        <w:t xml:space="preserve"> serve on the respondent a notice identifying the alleged discriminatory housing practice and advising the respondent of the procedural rights and obligations of respondents under the applicable sections of Iowa Code chapter </w:t>
      </w:r>
      <w:hyperlink r:id="rId53">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together with a copy of the original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respondent may file, not later than ten days after receipt of notice from the commission, an answer to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later than ten days after the filing of a complaint, serve the complainant a notice acknowledging receipt of the complaint and advising the complainant of the time limits and choice of forums provided under Iowa Code chapter </w:t>
      </w:r>
      <w:hyperlink r:id="rId54">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Timely investigation. </w:t>
      </w:r>
      <w:r>
        <w:rPr>
          <w:rFonts w:ascii="Times New Roman" w:hAnsi="Times New Roman"/>
          <w:b w:val="false"/>
          <w:i w:val="false"/>
          <w:color w:val="000000"/>
          <w:sz w:val="22"/>
        </w:rPr>
        <w:t>The commission will begin the investigation within 30 days of filing. If the commission is unable to complete the investigation within 100 days after the filing of the complaint, the commission shall notify the complainant and respondent in writing of the reasons for not doing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Complaints and answers shall be under oath or affirmation and may be reasonably and fairly amended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respondents.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named as a respondent in a complaint, but who is identified as a respondent in the course of investigation, may be joined as an additional or substitute respondent upon written notice, under </w:t>
      </w:r>
      <w:hyperlink r:id="rId55">
        <w:r>
          <w:rPr>
            <w:rStyle w:val="Hyperlink"/>
            <w:rFonts w:ascii="Times New Roman" w:hAnsi="Times New Roman"/>
            <w:b w:val="false"/>
            <w:i w:val="false"/>
            <w:color w:val="000000"/>
            <w:sz w:val="22"/>
          </w:rPr>
          <w:t>9.5(3)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such person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Such notice, in addition to meeting the requirements of </w:t>
      </w:r>
      <w:hyperlink r:id="rId56">
        <w:r>
          <w:rPr>
            <w:rStyle w:val="Hyperlink"/>
            <w:rFonts w:ascii="Times New Roman" w:hAnsi="Times New Roman"/>
            <w:b w:val="false"/>
            <w:i w:val="false"/>
            <w:color w:val="000000"/>
            <w:sz w:val="22"/>
          </w:rPr>
          <w:t>9.5(3)</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explain the basis for the commission’s belief that the person to whom the notice is addressed is properly joined as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Closure within one year. </w:t>
      </w:r>
      <w:r>
        <w:rPr>
          <w:rFonts w:ascii="Times New Roman" w:hAnsi="Times New Roman"/>
          <w:b w:val="false"/>
          <w:i w:val="false"/>
          <w:color w:val="000000"/>
          <w:sz w:val="22"/>
        </w:rPr>
        <w:t>Within one year of the date of receipt of a complaint alleging a discriminatory housing or real estate practice, the commission shall take final administrative action with respect to that complaint unless it is impracticable to do so. If the commission is unable to make final disposition of the case within the one-year period, the commission shall notify the complainant and respondent in writing of the reasons for not doing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color w:val="000000"/>
          <w:sz w:val="22"/>
        </w:rPr>
        <w:t xml:space="preserve">Probable cause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Final investigative report. </w:t>
      </w:r>
      <w:r>
        <w:rPr>
          <w:rFonts w:ascii="Times New Roman" w:hAnsi="Times New Roman"/>
          <w:b w:val="false"/>
          <w:i w:val="false"/>
          <w:color w:val="000000"/>
          <w:sz w:val="22"/>
        </w:rPr>
        <w:t>After the completion of the commission’s investigation, the investigator shall prepare a final investigative report. This final investigative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names and dates of contacts with witnesses excepting those witnesses who request to remain anonymous. The commission, however, may be required to disclose the names of such witnesses in the course of an administrative hearing or a civil action conducted pursuant to the Iowa civil rights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summary and the dates of correspondence and other contacts with the aggrieved person and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summary description of other pertinent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summary of witness statements;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Answers to interrogatories.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procedure. </w:t>
      </w:r>
      <w:r>
        <w:rPr>
          <w:rFonts w:ascii="Times New Roman" w:hAnsi="Times New Roman"/>
          <w:b w:val="false"/>
          <w:i w:val="false"/>
          <w:color w:val="000000"/>
          <w:sz w:val="22"/>
        </w:rPr>
        <w:t xml:space="preserve">If, after the completion of investigation, a mediation agreement under Iowa Code section </w:t>
      </w:r>
      <w:hyperlink r:id="rId57">
        <w:r>
          <w:rPr>
            <w:rStyle w:val="Hyperlink"/>
            <w:rFonts w:ascii="Times New Roman" w:hAnsi="Times New Roman"/>
            <w:b w:val="false"/>
            <w:i w:val="false"/>
            <w:color w:val="000000"/>
            <w:sz w:val="22"/>
          </w:rPr>
          <w:t>216.15A(2)</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to </w:t>
      </w:r>
      <w:r>
        <w:rPr>
          <w:rFonts w:ascii="Times New Roman" w:hAnsi="Times New Roman"/>
          <w:b w:val="false"/>
          <w:i/>
          <w:color w:val="000000"/>
          <w:sz w:val="22"/>
        </w:rPr>
        <w:t>“e”</w:t>
      </w:r>
      <w:r>
        <w:rPr>
          <w:rFonts w:ascii="Times New Roman" w:hAnsi="Times New Roman"/>
          <w:b w:val="false"/>
          <w:i w:val="false"/>
          <w:color w:val="000000"/>
          <w:sz w:val="22"/>
        </w:rPr>
        <w:t xml:space="preserve"> has not been executed by the complainant and the respondent and approved by the commission, the commission shall conduct a review of the factual circumstances revealed as part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commission determines that, based on the totality of the factual circumstances known at the time of the commission’s review, no probable cause exists to believe that a discriminatory housing practice has occurred or is about to occur, the commission shall: issue a short and plain written statement of the facts upon which the no probable cause determination was based; dismiss the complaint; notify the aggrieved person(s) and the respondent(s) of the dismissal (including the written statement of facts) by regular or certified mail or personal service; and make public disclosure of the dismissal.</w:t>
      </w:r>
    </w:p>
    <w:p>
      <w:pPr>
        <w:spacing w:before="0" w:after="0"/>
        <w:ind w:left="120"/>
        <w:jc w:val="both"/>
      </w:pPr>
      <w:r>
        <w:rPr>
          <w:rFonts w:ascii="Times New Roman" w:hAnsi="Times New Roman"/>
          <w:b w:val="false"/>
          <w:i w:val="false"/>
          <w:color w:val="000000"/>
          <w:sz w:val="22"/>
        </w:rPr>
        <w:t>Respondent(s) may request that no public disclosure be made. Notwithstanding such request, the fact of dismissal, including the names of the parties, shall be public information available on request.</w:t>
      </w:r>
    </w:p>
    <w:p>
      <w:pPr>
        <w:spacing w:before="0" w:after="0"/>
        <w:ind w:left="120"/>
        <w:jc w:val="both"/>
      </w:pPr>
      <w:r>
        <w:rPr>
          <w:rFonts w:ascii="Times New Roman" w:hAnsi="Times New Roman"/>
          <w:b w:val="false"/>
          <w:i w:val="false"/>
          <w:color w:val="000000"/>
          <w:sz w:val="22"/>
        </w:rPr>
        <w:t>The commission’s determination shall be based solely on the facts concerning the alleged discriminatory housing practice provided by complainant and respondent(s) and otherwise disclosed 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commission believes that probable cause may exist to believe that a discriminatory housing practice has occurred or is about to occur, the commission shall forward the matter to the executive director or designee for consideration. In all such cases the executive director or designee shall determine, with advice from the office of the attorney general, whether, based on the totality of the factual circumstances known at the time of the decision, probable cause exists to believe that a discriminatory housing practice has occurred or is about to occur. The determination shall be based solely on the facts concerning the alleged discriminatory housing practice provided by complainant and respondent and otherwise disclosed during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probable cause. </w:t>
      </w:r>
      <w:r>
        <w:rPr>
          <w:rFonts w:ascii="Times New Roman" w:hAnsi="Times New Roman"/>
          <w:b w:val="false"/>
          <w:i w:val="false"/>
          <w:color w:val="000000"/>
          <w:sz w:val="22"/>
        </w:rPr>
        <w:t>A determination of probable cause shall be followed by the issuance of a probable cause order. A probable cause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consist of a short and plain written statement of the facts upon which the commission has found probable cause to believe that a discriminatory housing practice has occurred or is about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based on the final investigative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 not be limited to facts or grounds that are alleged in the complaint. If the probable cause order is based on grounds that are alleged in the complaint, the commission will not issue the probable cause order with regard to those grounds unless the record of the investigation demonstrates that the respondent has been given an opportunity to respond to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Timely determination. </w:t>
      </w:r>
      <w:r>
        <w:rPr>
          <w:rFonts w:ascii="Times New Roman" w:hAnsi="Times New Roman"/>
          <w:b w:val="false"/>
          <w:i w:val="false"/>
          <w:color w:val="000000"/>
          <w:sz w:val="22"/>
        </w:rPr>
        <w:t>The commission shall make the probable cause determination within 100 days after the filing of the complaint unless it is impracticable to do so. If the commission is unable to make the determination within this 100-day period, the commission will notify the aggrieved person and the respondent by regular mail or personal service of the reasons for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Effect of probable cause determination. </w:t>
      </w:r>
      <w:r>
        <w:rPr>
          <w:rFonts w:ascii="Times New Roman" w:hAnsi="Times New Roman"/>
          <w:b w:val="false"/>
          <w:i w:val="false"/>
          <w:color w:val="000000"/>
          <w:sz w:val="22"/>
        </w:rPr>
        <w:t xml:space="preserve">A finding of probable cause regarding a complaint alleging a discriminatory housing or real estate practice commences the running of the period during which an aggrieved person on whose behalf a complaint was filed, a complainant, or a respondent may, pursuant to Iowa Code section </w:t>
      </w:r>
      <w:hyperlink r:id="rId58">
        <w:r>
          <w:rPr>
            <w:rStyle w:val="Hyperlink"/>
            <w:rFonts w:ascii="Times New Roman" w:hAnsi="Times New Roman"/>
            <w:b w:val="false"/>
            <w:i w:val="false"/>
            <w:color w:val="000000"/>
            <w:sz w:val="22"/>
          </w:rPr>
          <w:t>216.16(1)</w:t>
        </w:r>
      </w:hyperlink>
      <w:r>
        <w:rPr>
          <w:rFonts w:ascii="Times New Roman" w:hAnsi="Times New Roman"/>
          <w:b w:val="false"/>
          <w:i w:val="false"/>
          <w:color w:val="000000"/>
          <w:sz w:val="22"/>
        </w:rPr>
        <w:t>, elect to have the charges asserted in the complaint decided in a civil action in district court. If an election is made, the commission shall authorize the attorney general to file a civil action on behalf of the aggrieved person seeking relief. If no election is made, then the commission must schedule a hearing on the charges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Effect of no probable cause determination. </w:t>
      </w:r>
      <w:r>
        <w:rPr>
          <w:rFonts w:ascii="Times New Roman" w:hAnsi="Times New Roman"/>
          <w:b w:val="false"/>
          <w:i w:val="false"/>
          <w:color w:val="000000"/>
          <w:sz w:val="22"/>
        </w:rPr>
        <w:t>A finding of “no probable cause” regarding a complaint alleging a discriminatory housing or real estate practice results in prompt dismissal of the complaint. If the finding is not reconsidered, the commission may take no further action to process that complaint except as may be necessary to carry out the commission’s administrative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Standard. </w:t>
      </w:r>
      <w:r>
        <w:rPr>
          <w:rFonts w:ascii="Times New Roman" w:hAnsi="Times New Roman"/>
          <w:b w:val="false"/>
          <w:i w:val="false"/>
          <w:color w:val="000000"/>
          <w:sz w:val="22"/>
        </w:rPr>
        <w:t>The standard to determine whether a complaint alleging a discriminatory housing or real estate practice is supported by probable cause shall include consideration of whether the facts are sufficient to warrant initiation of litigation against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Conduct. </w:t>
      </w:r>
      <w:r>
        <w:rPr>
          <w:rFonts w:ascii="Times New Roman" w:hAnsi="Times New Roman"/>
          <w:b w:val="false"/>
          <w:i w:val="false"/>
          <w:color w:val="000000"/>
          <w:sz w:val="22"/>
        </w:rPr>
        <w:t>A contested case hearing regarding a complaint alleging a discriminatory housing or real estate practice is conducted on the same terms and in the same manner as any other contested case hearing conducted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Hearing time frames.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Trial date. The administrative law judge shall commence the hearing regarding a complaint alleging a discriminatory housing or real estate practice no later than 120 days following the issuance of the finding of probable cause, unless it is impracticable to do so. If the administrative law judge is unable to commence the hearing within 120 days after the issuance of the probable cause order, the administrative law judge shall notify the executive director, the aggrieved person on whose behalf the charge was filed, and the respondent, in writing, of the reasons for not doing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Decision date. The administrative law judge shall make findings of fact and conclusions of law within 60 days after the end of the hearing regarding a complaint alleging a discriminatory housing or real estate practice unless it is impracticable to do so. If the administrative law judge is unable to make findings of fact and conclusions of law within this period, or any succeeding 60-day period thereafter, the administrative law judge shall notify the executive director, the aggrieved person on whose behalf the charge was filed, and the respondent, in writing, of the reasons for not doing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color w:val="000000"/>
          <w:sz w:val="22"/>
        </w:rPr>
        <w:t xml:space="preserve">Access to file information in housing cases.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that is said or done in the course of mediation of a complaint of housing or real estate discrimination may be made public or used as evidence in a subsequent administrative hearing under </w:t>
      </w:r>
      <w:hyperlink r:id="rId59">
        <w:r>
          <w:rPr>
            <w:rStyle w:val="Hyperlink"/>
            <w:rFonts w:ascii="Times New Roman" w:hAnsi="Times New Roman"/>
            <w:b w:val="false"/>
            <w:i w:val="false"/>
            <w:color w:val="000000"/>
            <w:sz w:val="22"/>
          </w:rPr>
          <w:t>subrule 9.5(5)</w:t>
        </w:r>
      </w:hyperlink>
      <w:r>
        <w:rPr>
          <w:rFonts w:ascii="Times New Roman" w:hAnsi="Times New Roman"/>
          <w:b w:val="false"/>
          <w:i w:val="false"/>
          <w:color w:val="000000"/>
          <w:sz w:val="22"/>
        </w:rPr>
        <w:t xml:space="preserve"> or in civil actions under Iowa Code chapter </w:t>
      </w:r>
      <w:hyperlink r:id="rId60">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without the written consent of the persons concerned.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prohibitions and requirements with respect to disclosure of information contained in paragraph </w:t>
      </w:r>
      <w:hyperlink r:id="rId61">
        <w:r>
          <w:rPr>
            <w:rStyle w:val="Hyperlink"/>
            <w:rFonts w:ascii="Times New Roman" w:hAnsi="Times New Roman"/>
            <w:b w:val="false"/>
            <w:i w:val="false"/>
            <w:color w:val="000000"/>
            <w:sz w:val="22"/>
          </w:rPr>
          <w:t>9.5(6)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commission will make information derived from an investigation, including the final investigative report, available to the aggrieved person and the respondent. Following completion of the investigation, the commission shall notify the aggrieved person and the respondent that the final investigative report is complete and will be provided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commission has made a finding of no probable cause regarding a complaint alleging a discriminatory housing or real estate practice, the aggrieved person and the respondent may obtain information derived from the investigation and the final investigative report. Provided, however, that the phrase “information derived from the investigation” as used in this rule and in Iowa Code section </w:t>
      </w:r>
      <w:hyperlink r:id="rId62">
        <w:r>
          <w:rPr>
            <w:rStyle w:val="Hyperlink"/>
            <w:rFonts w:ascii="Times New Roman" w:hAnsi="Times New Roman"/>
            <w:b w:val="false"/>
            <w:i w:val="false"/>
            <w:color w:val="000000"/>
            <w:sz w:val="22"/>
          </w:rPr>
          <w:t>216.15A(2)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not include the contents of statements by witnesses other than the complainant or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a finding of either probable cause or no probable cause regarding a complaint alleging a discriminatory housing or real estate practice no access may be had to the information contained within the commission investigatory file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witness may request a copy of the witness’s own statement made to the commission as part of the commission’s investigation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copies of any information that that person sent to the commission in the course of processing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person may request copies of any information that the commission had previously sent to that person in the course of processing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161—9.6</w:t>
      </w:r>
      <w:r>
        <w:rPr>
          <w:rFonts w:ascii="Times New Roman" w:hAnsi="Times New Roman"/>
          <w:b/>
          <w:i w:val="false"/>
          <w:color w:val="000000"/>
          <w:sz w:val="22"/>
        </w:rPr>
        <w:t xml:space="preserve">(216) </w:t>
      </w:r>
      <w:r>
        <w:rPr>
          <w:rFonts w:ascii="Times New Roman" w:hAnsi="Times New Roman"/>
          <w:b/>
          <w:i w:val="false"/>
          <w:color w:val="000000"/>
          <w:sz w:val="22"/>
        </w:rPr>
        <w:t xml:space="preserve">Discovery methods in cases of alleged discrimination in housing.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When investigating a complaint of alleged discriminatory housing or real estate practices, the commission may, in addition to any other method of investigation authorized by law, obtain discovery by one or more of the following methods: depositions upon oral examination or written questions; written interrogatories; production of documents or things or permission to enter upon land or other property, for inspection and other purposes; physical and mental examinations; and requests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The rules providing for discovery and inspection in this chapter shall be liberally construed and shall be enforced to provide the commission with access to all relevant facts. Discovery shall be conducted in good faith, and responses to discovery requests, however made, shall fairly address and meet the substance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val="false"/>
          <w:color w:val="000000"/>
          <w:sz w:val="22"/>
        </w:rPr>
        <w:t>Notice of person’s rights in the discovery process shall be given to the person from whom discovery is sought. This notice is sufficient if it sets out in brief the person’s rights under these rules: to object to the discovery method; to seek a protective order; and to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val="false"/>
          <w:color w:val="000000"/>
          <w:sz w:val="22"/>
        </w:rPr>
        <w:t>A rule in this chapter requiring a matter to be under oath may be satisfied by an unsworn written statement in substantially the following form: “I certify under penalty of perjury and pursuant to the laws of the state of Iowa that the preceding is true and correct.</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686"/>
        <w:gridCol w:w="2902"/>
        <w:gridCol w:w="2634"/>
        <w:gridCol w:w="3968"/>
      </w:tblGrid>
      <w:tr>
        <w:trPr>
          <w:trHeight w:val="270" w:hRule="atLeast"/>
        </w:trPr>
        <w:tc>
          <w:tcPr>
            <w:tcW w:w="16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902" w:type="dxa"/>
            <w:tcBorders/>
            <w:tcMar>
              <w:top w:w="30" w:type="dxa"/>
              <w:left w:w="30" w:type="dxa"/>
              <w:bottom w:w="15" w:type="dxa"/>
              <w:right w:w="30" w:type="dxa"/>
            </w:tcMar>
            <w:vAlign w:val="top"/>
          </w:tcPr>
          <w:p>
            <w:pPr>
              <w:spacing w:before="0" w:after="0"/>
              <w:ind w:left="0"/>
              <w:jc w:val="left"/>
            </w:pPr>
          </w:p>
        </w:tc>
        <w:tc>
          <w:tcPr>
            <w:tcW w:w="26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r>
      <w:tr>
        <w:trPr>
          <w:trHeight w:val="270" w:hRule="atLeast"/>
        </w:trPr>
        <w:tc>
          <w:tcPr>
            <w:tcW w:w="16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9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263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9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161—9.7</w:t>
      </w:r>
      <w:r>
        <w:rPr>
          <w:rFonts w:ascii="Times New Roman" w:hAnsi="Times New Roman"/>
          <w:b/>
          <w:i w:val="false"/>
          <w:color w:val="000000"/>
          <w:sz w:val="22"/>
        </w:rPr>
        <w:t xml:space="preserve">(216) </w:t>
      </w:r>
      <w:r>
        <w:rPr>
          <w:rFonts w:ascii="Times New Roman" w:hAnsi="Times New Roman"/>
          <w:b/>
          <w:i w:val="false"/>
          <w:color w:val="000000"/>
          <w:sz w:val="22"/>
        </w:rPr>
        <w:t xml:space="preserve">Scope of discovery. </w:t>
      </w:r>
      <w:r>
        <w:rPr>
          <w:rFonts w:ascii="Times New Roman" w:hAnsi="Times New Roman"/>
          <w:b w:val="false"/>
          <w:i w:val="false"/>
          <w:color w:val="000000"/>
          <w:sz w:val="22"/>
        </w:rPr>
        <w:t>Unless otherwise limited by order of the presiding officer for discovery in accordance with these rules, the scope of discovery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commission may obtain discovery regarding any matter, not privileged, which is relevant to the subject matter involved in the pending investigation, whether it relates to the claim or defense of any party, including the existence, description, nature, custody, condition and location of any books, documents, or other tangible things and the identity and location of persons having knowledge of any discoverable matter. It is not grounds for objection that the information sought will be inadmissible at a trial or contested case hearing if the information sought appears reasonably calculated to lead to the discovery of admissible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Supplementation of responses. </w:t>
      </w:r>
      <w:r>
        <w:rPr>
          <w:rFonts w:ascii="Times New Roman" w:hAnsi="Times New Roman"/>
          <w:b w:val="false"/>
          <w:i w:val="false"/>
          <w:color w:val="000000"/>
          <w:sz w:val="22"/>
        </w:rPr>
        <w:t>A party who has responded to a commission request for discovery is under a duty to supplement or amend the response to include information thereafter acquired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is under a duty seasonably to supplement the response with respect to any question directly addressed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and location of persons having knowledge of discoverable matters;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matter that bears materially upon a claim or defense asserted by any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is under a duty seasonably to amend a prior response if the party obtains information upon the basis of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knows that the response was incorrect when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party knows that the response though correct when made is no longer true and the circumstances are such that a failure to amend the response is in substance a knowing concealment.</w:t>
      </w:r>
    </w:p>
    <w:p>
      <w:pPr>
        <w:spacing w:before="0" w:after="0"/>
        <w:ind w:left="120"/>
        <w:jc w:val="both"/>
      </w:pPr>
      <w:r>
        <w:rPr>
          <w:rFonts w:ascii="Times New Roman" w:hAnsi="Times New Roman"/>
          <w:b/>
          <w:i w:val="false"/>
          <w:color w:val="000000"/>
          <w:sz w:val="22"/>
        </w:rPr>
        <w:t>161—9.8</w:t>
      </w:r>
      <w:r>
        <w:rPr>
          <w:rFonts w:ascii="Times New Roman" w:hAnsi="Times New Roman"/>
          <w:b/>
          <w:i w:val="false"/>
          <w:color w:val="000000"/>
          <w:sz w:val="22"/>
        </w:rPr>
        <w:t xml:space="preserve">(216) </w:t>
      </w:r>
      <w:r>
        <w:rPr>
          <w:rFonts w:ascii="Times New Roman" w:hAnsi="Times New Roman"/>
          <w:b/>
          <w:i w:val="false"/>
          <w:color w:val="000000"/>
          <w:sz w:val="22"/>
        </w:rPr>
        <w:t xml:space="preserve">Protective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Upon motion by a party or by the person from whom discovery is sought or by any person who may be affected thereby, and for good cause shown,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May make any order which justice requires to protect a party or other person from annoyance, embarrassment, oppression, or undue burden or expense, including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discovery not be had;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discovery may be had only on specified terms and conditions, including a designation of the time or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discovery may be had only by a method of discovery other than that selected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certain matters not be inquired into, or that the scope of the discovery be limited to certain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That discovery be conducted with no one present except persons designated by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a deposition after being sealed be opened only by order of a court, a commission contested case presiding officer, or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That a trade secret or other confidential research, development, or commercial information not be disclosed or be disclosed only in a designated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That the parties simultaneously file specified documents or information enclosed in sealed envelopes to be opened as directed by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limit the frequency of use of the methods described in </w:t>
      </w:r>
      <w:hyperlink r:id="rId63">
        <w:r>
          <w:rPr>
            <w:rStyle w:val="Hyperlink"/>
            <w:rFonts w:ascii="Times New Roman" w:hAnsi="Times New Roman"/>
            <w:b w:val="false"/>
            <w:i w:val="false"/>
            <w:color w:val="000000"/>
            <w:sz w:val="22"/>
          </w:rPr>
          <w:t>subrule 9.6(1)</w:t>
        </w:r>
      </w:hyperlink>
      <w:r>
        <w:rPr>
          <w:rFonts w:ascii="Times New Roman" w:hAnsi="Times New Roman"/>
          <w:b w:val="false"/>
          <w:i w:val="false"/>
          <w:color w:val="000000"/>
          <w:sz w:val="22"/>
        </w:rPr>
        <w:t xml:space="preserve"> if the presiding officer for discovery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discovery sought is unreasonably cumulative or duplicative, or is obtainable from some other source that is more convenient, less burdensome, or less expensive;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has had ample opportunity by discovery in the action to obtain the information sought;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discovery is unduly burdensome or expensive, taking into account the needs of the case, the amount in controversy, limitations on the objecting party’s resources, and the importance of the issues at stake in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If the motion for a protective order is denied in whole or in part, the presiding officer for discovery may, on such terms and conditions as are just, order that any party or other person provide or permit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w:t>
      </w:r>
      <w:r>
        <w:rPr>
          <w:rFonts w:ascii="Times New Roman" w:hAnsi="Times New Roman"/>
          <w:b w:val="false"/>
          <w:i w:val="false"/>
          <w:color w:val="000000"/>
          <w:sz w:val="22"/>
        </w:rPr>
        <w:t> </w:t>
      </w:r>
      <w:r>
        <w:rPr>
          <w:rFonts w:ascii="Times New Roman" w:hAnsi="Times New Roman"/>
          <w:b w:val="false"/>
          <w:i w:val="false"/>
          <w:color w:val="000000"/>
          <w:sz w:val="22"/>
        </w:rPr>
        <w:t>Award of expenses of motion</w:t>
      </w:r>
      <w:r>
        <w:rPr>
          <w:rFonts w:ascii="Times New Roman" w:hAnsi="Times New Roman"/>
          <w:b w:val="false"/>
          <w:i/>
          <w:color w:val="000000"/>
          <w:sz w:val="22"/>
        </w:rPr>
        <w:t>.</w:t>
      </w:r>
      <w:r>
        <w:rPr>
          <w:rFonts w:ascii="Times New Roman" w:hAnsi="Times New Roman"/>
          <w:b w:val="false"/>
          <w:i w:val="false"/>
          <w:color w:val="000000"/>
          <w:sz w:val="22"/>
        </w:rPr>
        <w:t xml:space="preserve"> If the motion is granted, the presiding officer for discovery shall, after opportunity for hearing, require the commission, if it opposed the motion, to pay to the party or other person making the motion the reasonable expenses incurred in obtaining the order, including attorneys’ fees, unless the presiding officer for discovery finds that the opposition to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denied, the presiding officer for discovery shall, after opportunity for hearing, require the party or deponent who made the motion or the party or attorney advising such a motion or both of them to pay to the commission the reasonable expenses incurred in opposing the motion, including attorneys’ fees, unless the presiding officer for discovery finds that the making of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granted in part and denied in part, the presiding officer for discovery may apportion in a just manner the reasonable expenses incurred in relation to the motion.</w:t>
      </w:r>
    </w:p>
    <w:p>
      <w:pPr>
        <w:spacing w:before="0" w:after="0"/>
        <w:ind w:left="120"/>
        <w:jc w:val="both"/>
      </w:pPr>
      <w:r>
        <w:rPr>
          <w:rFonts w:ascii="Times New Roman" w:hAnsi="Times New Roman"/>
          <w:b/>
          <w:i w:val="false"/>
          <w:color w:val="000000"/>
          <w:sz w:val="22"/>
        </w:rPr>
        <w:t>161—9.9</w:t>
      </w:r>
      <w:r>
        <w:rPr>
          <w:rFonts w:ascii="Times New Roman" w:hAnsi="Times New Roman"/>
          <w:b/>
          <w:i w:val="false"/>
          <w:color w:val="000000"/>
          <w:sz w:val="22"/>
        </w:rPr>
        <w:t xml:space="preserve">(216) </w:t>
      </w:r>
      <w:r>
        <w:rPr>
          <w:rFonts w:ascii="Times New Roman" w:hAnsi="Times New Roman"/>
          <w:b/>
          <w:i w:val="false"/>
          <w:color w:val="000000"/>
          <w:sz w:val="22"/>
        </w:rPr>
        <w:t xml:space="preserve">Interrogatories.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color w:val="000000"/>
          <w:sz w:val="22"/>
        </w:rPr>
        <w:t xml:space="preserve">Availability; procedures for use. </w:t>
      </w:r>
      <w:r>
        <w:rPr>
          <w:rFonts w:ascii="Times New Roman" w:hAnsi="Times New Roman"/>
          <w:b w:val="false"/>
          <w:i w:val="false"/>
          <w:color w:val="000000"/>
          <w:sz w:val="22"/>
        </w:rPr>
        <w:t>The commission may serve written interrogatories to be answered by a party or, if the party from whom the information is sought is a public or private corporation or a partnership or association or governmental agency, by any officer or agent, who shall furnish such information as is available to the party.</w:t>
      </w:r>
    </w:p>
    <w:p>
      <w:pPr>
        <w:spacing w:before="0" w:after="0"/>
        <w:ind w:left="120"/>
        <w:jc w:val="both"/>
      </w:pPr>
      <w:r>
        <w:rPr>
          <w:rFonts w:ascii="Times New Roman" w:hAnsi="Times New Roman"/>
          <w:b w:val="false"/>
          <w:i w:val="false"/>
          <w:color w:val="000000"/>
          <w:sz w:val="22"/>
        </w:rPr>
        <w:t>Each interrogatory shall be followed by a reasonable space for insertion of the answer. An interrogatory which does not comply with this requirement shall be subject to objection. The interrogatories must be accompanied by a written notice informing the person to whom the interrogatories are directed that a response is mandatory and that sanctions can be levied for a failure to respond.</w:t>
      </w:r>
    </w:p>
    <w:p>
      <w:pPr>
        <w:spacing w:before="0" w:after="0"/>
        <w:ind w:left="120"/>
        <w:jc w:val="both"/>
      </w:pPr>
      <w:r>
        <w:rPr>
          <w:rFonts w:ascii="Times New Roman" w:hAnsi="Times New Roman"/>
          <w:b w:val="false"/>
          <w:i w:val="false"/>
          <w:color w:val="000000"/>
          <w:sz w:val="22"/>
        </w:rPr>
        <w:t>Each interrogatory shall be answered separately and fully in writing under oath, unless it is objected to, in which event the reasons for objection shall be stated in lieu of an answer.</w:t>
      </w:r>
    </w:p>
    <w:p>
      <w:pPr>
        <w:spacing w:before="0" w:after="0"/>
        <w:ind w:left="120"/>
        <w:jc w:val="both"/>
      </w:pPr>
      <w:r>
        <w:rPr>
          <w:rFonts w:ascii="Times New Roman" w:hAnsi="Times New Roman"/>
          <w:b w:val="false"/>
          <w:i w:val="false"/>
          <w:color w:val="000000"/>
          <w:sz w:val="22"/>
        </w:rPr>
        <w:t xml:space="preserve">A party answering interrogatories must answer in the space provided or must set out each interrogatory immediately preceding the answer to it. A failure to comply with this rule shall be deemed a failure to answer and shall be subject to sanctions as provided in rule </w:t>
      </w:r>
      <w:hyperlink r:id="rId64">
        <w:r>
          <w:rPr>
            <w:rStyle w:val="Hyperlink"/>
            <w:rFonts w:ascii="Times New Roman" w:hAnsi="Times New Roman"/>
            <w:b w:val="false"/>
            <w:i w:val="false"/>
            <w:color w:val="000000"/>
            <w:sz w:val="22"/>
          </w:rPr>
          <w:t>161—9.16(216)</w:t>
        </w:r>
      </w:hyperlink>
      <w:r>
        <w:rPr>
          <w:rFonts w:ascii="Times New Roman" w:hAnsi="Times New Roman"/>
          <w:b w:val="false"/>
          <w:i w:val="false"/>
          <w:color w:val="000000"/>
          <w:sz w:val="22"/>
        </w:rPr>
        <w:t xml:space="preserve">. Answers are to be signed by the person making them. Objections, if any, shall be served within 30 days after the interrogatories are served. The commission may move for an order under subrule </w:t>
      </w:r>
      <w:hyperlink r:id="rId65">
        <w:r>
          <w:rPr>
            <w:rStyle w:val="Hyperlink"/>
            <w:rFonts w:ascii="Times New Roman" w:hAnsi="Times New Roman"/>
            <w:b w:val="false"/>
            <w:i w:val="false"/>
            <w:color w:val="000000"/>
            <w:sz w:val="22"/>
          </w:rPr>
          <w:t>9.16(1)</w:t>
        </w:r>
      </w:hyperlink>
      <w:r>
        <w:rPr>
          <w:rFonts w:ascii="Times New Roman" w:hAnsi="Times New Roman"/>
          <w:b w:val="false"/>
          <w:i w:val="false"/>
          <w:color w:val="000000"/>
          <w:sz w:val="22"/>
        </w:rPr>
        <w:t xml:space="preserve"> with respect to any objection to or other failure to answer an interrogatory.</w:t>
      </w:r>
    </w:p>
    <w:p>
      <w:pPr>
        <w:spacing w:before="0" w:after="0"/>
        <w:ind w:left="120"/>
        <w:jc w:val="both"/>
      </w:pPr>
      <w:r>
        <w:rPr>
          <w:rFonts w:ascii="Times New Roman" w:hAnsi="Times New Roman"/>
          <w:b w:val="false"/>
          <w:i w:val="false"/>
          <w:color w:val="000000"/>
          <w:sz w:val="22"/>
        </w:rPr>
        <w:t>The commission shall not serve more than 30 interrogatories on any party under the authority of this rule except upon agreement by the person from whom information is sought or leave of the presiding officer for discovery granted upon a showing of good cause. A motion for leave to serve more than 30 interrogatories must be in writing and shall set forth the proposed interrogatories and the reasons establishing good cause for their use.</w:t>
      </w:r>
    </w:p>
    <w:p>
      <w:pPr>
        <w:spacing w:before="0" w:after="0"/>
        <w:ind w:left="120"/>
        <w:jc w:val="both"/>
      </w:pPr>
      <w:r>
        <w:rPr>
          <w:rFonts w:ascii="Times New Roman" w:hAnsi="Times New Roman"/>
          <w:b w:val="false"/>
          <w:i w:val="false"/>
          <w:color w:val="000000"/>
          <w:sz w:val="22"/>
        </w:rPr>
        <w:t xml:space="preserve">Notwithstanding the provisions of this subrule the commission may, without limitation on the number of questions, solicit information from the parties in the form of a written questionnaire. The response to these questions, however, cannot be compelled under rule </w:t>
      </w:r>
      <w:hyperlink r:id="rId66">
        <w:r>
          <w:rPr>
            <w:rStyle w:val="Hyperlink"/>
            <w:rFonts w:ascii="Times New Roman" w:hAnsi="Times New Roman"/>
            <w:b w:val="false"/>
            <w:i w:val="false"/>
            <w:color w:val="000000"/>
            <w:sz w:val="22"/>
          </w:rPr>
          <w:t>161—9.16(216)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An interrogatory otherwise proper is not necessarily objectionable merely because an answer to the interrogatory involves an opinion or contention that relates to fact or the application of law to fact, but the presiding officer for discovery may order that such an interrogatory need not be answered until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color w:val="000000"/>
          <w:sz w:val="22"/>
        </w:rPr>
        <w:t xml:space="preserve">Option to produce business records. </w:t>
      </w:r>
      <w:r>
        <w:rPr>
          <w:rFonts w:ascii="Times New Roman" w:hAnsi="Times New Roman"/>
          <w:b w:val="false"/>
          <w:i w:val="false"/>
          <w:color w:val="000000"/>
          <w:sz w:val="22"/>
        </w:rPr>
        <w:t>Where the answer to an interrogatory may be derived or ascertained from the business records of the party upon whom the interrogatory has been served or from an examination, audit or inspection of such business records, or from a compilation, abstract or summary based thereon, and the burden of deriving or ascertaining the answer is substantially the same for the commission as for the party served, it is a sufficient answer to such interrogatory to specify the records from which the answer may be derived or ascertained and to afford to the commission reasonable opportunity to examine, audit or inspect such records and to make copies, compilations, abstracts or summaries. A specification shall be in sufficient detail to permit the commission to locate and identify as readily as can the party served, the records from which the answer may be ascertained.</w:t>
      </w:r>
    </w:p>
    <w:p>
      <w:pPr>
        <w:spacing w:before="0" w:after="0"/>
        <w:ind w:left="120"/>
        <w:jc w:val="both"/>
      </w:pPr>
      <w:r>
        <w:rPr>
          <w:rFonts w:ascii="Times New Roman" w:hAnsi="Times New Roman"/>
          <w:b/>
          <w:i w:val="false"/>
          <w:color w:val="000000"/>
          <w:sz w:val="22"/>
        </w:rPr>
        <w:t>161—9.10</w:t>
      </w:r>
      <w:r>
        <w:rPr>
          <w:rFonts w:ascii="Times New Roman" w:hAnsi="Times New Roman"/>
          <w:b/>
          <w:i w:val="false"/>
          <w:color w:val="000000"/>
          <w:sz w:val="22"/>
        </w:rPr>
        <w:t xml:space="preserve">(216) </w:t>
      </w:r>
      <w:r>
        <w:rPr>
          <w:rFonts w:ascii="Times New Roman" w:hAnsi="Times New Roman"/>
          <w:b/>
          <w:i w:val="false"/>
          <w:color w:val="000000"/>
          <w:sz w:val="22"/>
        </w:rPr>
        <w:t xml:space="preserve">Requests for 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Availability; procedures for requests. </w:t>
      </w:r>
      <w:r>
        <w:rPr>
          <w:rFonts w:ascii="Times New Roman" w:hAnsi="Times New Roman"/>
          <w:b w:val="false"/>
          <w:i w:val="false"/>
          <w:color w:val="000000"/>
          <w:sz w:val="22"/>
        </w:rPr>
        <w:t xml:space="preserve">The commission may serve upon any party a written request for the admission, for purposes of all proceedings relating to the pending complaint only, of the truth of any matters within the scope of rule </w:t>
      </w:r>
      <w:hyperlink r:id="rId67">
        <w:r>
          <w:rPr>
            <w:rStyle w:val="Hyperlink"/>
            <w:rFonts w:ascii="Times New Roman" w:hAnsi="Times New Roman"/>
            <w:b w:val="false"/>
            <w:i w:val="false"/>
            <w:color w:val="000000"/>
            <w:sz w:val="22"/>
          </w:rPr>
          <w:t>161—9.7(216)</w:t>
        </w:r>
      </w:hyperlink>
      <w:r>
        <w:rPr>
          <w:rFonts w:ascii="Times New Roman" w:hAnsi="Times New Roman"/>
          <w:b w:val="false"/>
          <w:i w:val="false"/>
          <w:color w:val="000000"/>
          <w:sz w:val="22"/>
        </w:rPr>
        <w:t xml:space="preserve"> set forth in the request that relate to statements or opinions of fact or of the application of law to fact, including the genuineness of any documents described in the request. Copies of documents shall be served with the request unless they have been or are otherwise furnished or made available for inspection and copying.</w:t>
      </w:r>
    </w:p>
    <w:p>
      <w:pPr>
        <w:spacing w:before="0" w:after="0"/>
        <w:ind w:left="120"/>
        <w:jc w:val="both"/>
      </w:pPr>
      <w:r>
        <w:rPr>
          <w:rFonts w:ascii="Times New Roman" w:hAnsi="Times New Roman"/>
          <w:b w:val="false"/>
          <w:i w:val="false"/>
          <w:color w:val="000000"/>
          <w:sz w:val="22"/>
        </w:rPr>
        <w:t>Each matter of which an admission is requested shall be separately set forth.</w:t>
      </w:r>
    </w:p>
    <w:p>
      <w:pPr>
        <w:spacing w:before="0" w:after="0"/>
        <w:ind w:left="120"/>
        <w:jc w:val="both"/>
      </w:pPr>
      <w:r>
        <w:rPr>
          <w:rFonts w:ascii="Times New Roman" w:hAnsi="Times New Roman"/>
          <w:b w:val="false"/>
          <w:i w:val="false"/>
          <w:color w:val="000000"/>
          <w:sz w:val="22"/>
        </w:rPr>
        <w:t>Notice of the effect of an admission shall be given to the person from whom the admission is sought.</w:t>
      </w:r>
    </w:p>
    <w:p>
      <w:pPr>
        <w:spacing w:before="0" w:after="0"/>
        <w:ind w:left="120"/>
        <w:jc w:val="both"/>
      </w:pPr>
      <w:r>
        <w:rPr>
          <w:rFonts w:ascii="Times New Roman" w:hAnsi="Times New Roman"/>
          <w:b w:val="false"/>
          <w:i w:val="false"/>
          <w:color w:val="000000"/>
          <w:sz w:val="22"/>
        </w:rPr>
        <w:t>The commission shall not serve more than 30 requests for admission on any party except upon agreement of the party from whom admissions are sought or leave of the presiding officer for discovery granted upon a showing of good cause. A motion for leave of the presiding officer for discovery to serve more than 30 requests for admission must be in writing and shall set forth the proposed requests and the reasons establishing good cause for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Time for and content of responses. </w:t>
      </w:r>
      <w:r>
        <w:rPr>
          <w:rFonts w:ascii="Times New Roman" w:hAnsi="Times New Roman"/>
          <w:b w:val="false"/>
          <w:i w:val="false"/>
          <w:color w:val="000000"/>
          <w:sz w:val="22"/>
        </w:rPr>
        <w:t>The matter is admitted unless, within 30 days after service of the request, or within such shorter or longer time as the presiding officer for discovery may on motion allow, the party to whom the request is directed serves upon the commission a written answer or objection addressed to the matter, signed by the party or by the party’s attorney.</w:t>
      </w:r>
    </w:p>
    <w:p>
      <w:pPr>
        <w:spacing w:before="0" w:after="0"/>
        <w:ind w:left="120"/>
        <w:jc w:val="both"/>
      </w:pPr>
      <w:r>
        <w:rPr>
          <w:rFonts w:ascii="Times New Roman" w:hAnsi="Times New Roman"/>
          <w:b w:val="false"/>
          <w:i w:val="false"/>
          <w:color w:val="000000"/>
          <w:sz w:val="22"/>
        </w:rPr>
        <w:t xml:space="preserve">If objection is made, the reasons therefor shall be stated. The answer shall specifically deny the matter or set forth in detail the reasons why the answering party cannot truthfully admit or deny the matter. A denial shall fairly meet the substance of the requested admission, and when good faith requires that a party qualify the party’s answer or deny only a part of the matter of which an admission is requested, the party shall specify so much of it as is true and qualify or deny the remainder. An answering party may not give lack of information or knowledge as a reason for failure to admit or deny unless the party states that the party has made reasonable inquiry and that the information known or readily obtainable by the party is insufficient to enable the party to admit or deny. A party who considers that a matter of which an admission has been requested presents a genuine issue for trial may not, on that ground alone, object to the request; the party may, subject to the provisions of </w:t>
      </w:r>
      <w:hyperlink r:id="rId68">
        <w:r>
          <w:rPr>
            <w:rStyle w:val="Hyperlink"/>
            <w:rFonts w:ascii="Times New Roman" w:hAnsi="Times New Roman"/>
            <w:b w:val="false"/>
            <w:i w:val="false"/>
            <w:color w:val="000000"/>
            <w:sz w:val="22"/>
          </w:rPr>
          <w:t>subrule 9.16(3)</w:t>
        </w:r>
      </w:hyperlink>
      <w:r>
        <w:rPr>
          <w:rFonts w:ascii="Times New Roman" w:hAnsi="Times New Roman"/>
          <w:b w:val="false"/>
          <w:i w:val="false"/>
          <w:color w:val="000000"/>
          <w:sz w:val="22"/>
        </w:rPr>
        <w:t>, deny the matter or set forth reasons why the party cannot admit or deny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Determining sufficiency of responses. </w:t>
      </w:r>
      <w:r>
        <w:rPr>
          <w:rFonts w:ascii="Times New Roman" w:hAnsi="Times New Roman"/>
          <w:b w:val="false"/>
          <w:i w:val="false"/>
          <w:color w:val="000000"/>
          <w:sz w:val="22"/>
        </w:rPr>
        <w:t xml:space="preserve">The commission may move to determine the sufficiency of the answers or objections. Unless the presiding officer for discovery determines that an objection is justified, the presiding officer for discovery shall order that an answer be served. If the presiding officer for discovery determines that an answer does not comply with the requirements of this rule, the presiding officer for discovery may order either that the matter be admitted or that an amended answer be served. The presiding officer for discovery may, in lieu of these orders, determine that final disposition of the request be made at a designated time prior to completion of the investigation. The provisions of paragraph </w:t>
      </w:r>
      <w:hyperlink r:id="rId69">
        <w:r>
          <w:rPr>
            <w:rStyle w:val="Hyperlink"/>
            <w:rFonts w:ascii="Times New Roman" w:hAnsi="Times New Roman"/>
            <w:b w:val="false"/>
            <w:i w:val="false"/>
            <w:color w:val="000000"/>
            <w:sz w:val="22"/>
          </w:rPr>
          <w:t>9.16(1)</w:t>
        </w:r>
      </w:hyperlink>
      <w:r>
        <w:rPr>
          <w:rFonts w:ascii="Times New Roman" w:hAnsi="Times New Roman"/>
          <w:b w:val="false"/>
          <w:i/>
          <w:color w:val="000000"/>
          <w:sz w:val="22"/>
        </w:rPr>
        <w:t>“d”</w:t>
      </w:r>
      <w:r>
        <w:rPr>
          <w:rFonts w:ascii="Times New Roman" w:hAnsi="Times New Roman"/>
          <w:b w:val="false"/>
          <w:i w:val="false"/>
          <w:color w:val="000000"/>
          <w:sz w:val="22"/>
        </w:rPr>
        <w:t xml:space="preserve"> apply to the award of expenses incurred in relation to the motion.</w:t>
      </w:r>
    </w:p>
    <w:p>
      <w:pPr>
        <w:spacing w:before="210" w:after="0"/>
        <w:ind w:left="120"/>
        <w:jc w:val="both"/>
      </w:pPr>
      <w:r>
        <w:rPr>
          <w:rFonts w:ascii="Times New Roman" w:hAnsi="Times New Roman"/>
          <w:b/>
          <w:i w:val="false"/>
          <w:color w:val="000000"/>
          <w:sz w:val="22"/>
        </w:rPr>
        <w:t>161—9.11</w:t>
      </w:r>
      <w:r>
        <w:rPr>
          <w:rFonts w:ascii="Times New Roman" w:hAnsi="Times New Roman"/>
          <w:b/>
          <w:i w:val="false"/>
          <w:color w:val="000000"/>
          <w:sz w:val="22"/>
        </w:rPr>
        <w:t xml:space="preserve">(216) </w:t>
      </w:r>
      <w:r>
        <w:rPr>
          <w:rFonts w:ascii="Times New Roman" w:hAnsi="Times New Roman"/>
          <w:b/>
          <w:i w:val="false"/>
          <w:color w:val="000000"/>
          <w:sz w:val="22"/>
        </w:rPr>
        <w:t xml:space="preserve">Effect of admission. </w:t>
      </w:r>
      <w:r>
        <w:rPr>
          <w:rFonts w:ascii="Times New Roman" w:hAnsi="Times New Roman"/>
          <w:b w:val="false"/>
          <w:i w:val="false"/>
          <w:color w:val="000000"/>
          <w:sz w:val="22"/>
        </w:rPr>
        <w:t xml:space="preserve">Any matter admitted under rule </w:t>
      </w:r>
      <w:hyperlink r:id="rId70">
        <w:r>
          <w:rPr>
            <w:rStyle w:val="Hyperlink"/>
            <w:rFonts w:ascii="Times New Roman" w:hAnsi="Times New Roman"/>
            <w:b w:val="false"/>
            <w:i w:val="false"/>
            <w:color w:val="000000"/>
            <w:sz w:val="22"/>
          </w:rPr>
          <w:t>161—9.10(216)</w:t>
        </w:r>
      </w:hyperlink>
      <w:r>
        <w:rPr>
          <w:rFonts w:ascii="Times New Roman" w:hAnsi="Times New Roman"/>
          <w:b w:val="false"/>
          <w:i w:val="false"/>
          <w:color w:val="000000"/>
          <w:sz w:val="22"/>
        </w:rPr>
        <w:t xml:space="preserve"> is conclusively established in all proceedings relating to the pending complaint unless the court or contested case administrative law judge on motion permits withdrawal or amendment of the admission. The court or contested case administrative law judge may permit withdrawal or amendment when the presentation of the merits of the action will be subserved thereby and the commission or the party opposing the motion fails to satisfy the court or contested case administrative law judge that withdrawal or amendment will prejudice the commission in maintaining the commission’s action on the merits.</w:t>
      </w:r>
    </w:p>
    <w:p>
      <w:pPr>
        <w:spacing w:before="0" w:after="0"/>
        <w:ind w:left="120"/>
        <w:jc w:val="both"/>
      </w:pPr>
      <w:r>
        <w:rPr>
          <w:rFonts w:ascii="Times New Roman" w:hAnsi="Times New Roman"/>
          <w:b/>
          <w:i w:val="false"/>
          <w:color w:val="000000"/>
          <w:sz w:val="22"/>
        </w:rPr>
        <w:t>161—9.12</w:t>
      </w:r>
      <w:r>
        <w:rPr>
          <w:rFonts w:ascii="Times New Roman" w:hAnsi="Times New Roman"/>
          <w:b/>
          <w:i w:val="false"/>
          <w:color w:val="000000"/>
          <w:sz w:val="22"/>
        </w:rPr>
        <w:t xml:space="preserve">(216) </w:t>
      </w:r>
      <w:r>
        <w:rPr>
          <w:rFonts w:ascii="Times New Roman" w:hAnsi="Times New Roman"/>
          <w:b/>
          <w:i w:val="false"/>
          <w:color w:val="000000"/>
          <w:sz w:val="22"/>
        </w:rPr>
        <w:t xml:space="preserve">Production of documents and things and entry upon land for inspection and other purposes. </w:t>
      </w:r>
      <w:r>
        <w:rPr>
          <w:rFonts w:ascii="Times New Roman" w:hAnsi="Times New Roman"/>
          <w:b w:val="false"/>
          <w:i w:val="false"/>
          <w:color w:val="000000"/>
          <w:sz w:val="22"/>
        </w:rPr>
        <w:t>The commission may serve on any party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 xml:space="preserve">To produce and permit the commission, or someone acting on the commission’s behalf, to inspect and copy any designated documents (including writings, drawings, graphs, charts, photographs, and other data compilations from which information can be obtained, translated, if necessary, by the party upon whom the request is served through detection devices into reasonably usable form), or to inspect and copy, test, or sample any tangible things which constitute or contain matters within the scope of rule </w:t>
      </w:r>
      <w:hyperlink r:id="rId71">
        <w:r>
          <w:rPr>
            <w:rStyle w:val="Hyperlink"/>
            <w:rFonts w:ascii="Times New Roman" w:hAnsi="Times New Roman"/>
            <w:b w:val="false"/>
            <w:i w:val="false"/>
            <w:color w:val="000000"/>
            <w:sz w:val="22"/>
          </w:rPr>
          <w:t>161—9.7(216)</w:t>
        </w:r>
      </w:hyperlink>
      <w:r>
        <w:rPr>
          <w:rFonts w:ascii="Times New Roman" w:hAnsi="Times New Roman"/>
          <w:b w:val="false"/>
          <w:i w:val="false"/>
          <w:color w:val="000000"/>
          <w:sz w:val="22"/>
        </w:rPr>
        <w:t xml:space="preserve"> and which are in the possession, custody or control of the party upon whom the request is served;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by statute, to permit entry upon designated land or other property in the possession or control of the party upon whom the request is served for the purpose of inspection and measuring, surveying, photographing, testing, or sampling the property or any designated object or operation thereon, within the scope of rule </w:t>
      </w:r>
      <w:hyperlink r:id="rId72">
        <w:r>
          <w:rPr>
            <w:rStyle w:val="Hyperlink"/>
            <w:rFonts w:ascii="Times New Roman" w:hAnsi="Times New Roman"/>
            <w:b w:val="false"/>
            <w:i w:val="false"/>
            <w:color w:val="000000"/>
            <w:sz w:val="22"/>
          </w:rPr>
          <w:t>161—9.7(216)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161—9.13</w:t>
      </w:r>
      <w:r>
        <w:rPr>
          <w:rFonts w:ascii="Times New Roman" w:hAnsi="Times New Roman"/>
          <w:b/>
          <w:i w:val="false"/>
          <w:color w:val="000000"/>
          <w:sz w:val="22"/>
        </w:rPr>
        <w:t xml:space="preserve">(216) </w:t>
      </w:r>
      <w:r>
        <w:rPr>
          <w:rFonts w:ascii="Times New Roman" w:hAnsi="Times New Roman"/>
          <w:b/>
          <w:i w:val="false"/>
          <w:color w:val="000000"/>
          <w:sz w:val="22"/>
        </w:rPr>
        <w:t xml:space="preserve">Procedures for documents and inspections. </w:t>
      </w:r>
      <w:r>
        <w:rPr>
          <w:rFonts w:ascii="Times New Roman" w:hAnsi="Times New Roman"/>
          <w:b w:val="false"/>
          <w:i w:val="false"/>
          <w:color w:val="000000"/>
          <w:sz w:val="22"/>
        </w:rPr>
        <w:t>The request shall set forth the items to be inspected either by individual item or by category and describe each item and category with reasonable particularity. The request shall specify a reasonable time, place, and manner of making the inspection and performing the related acts.</w:t>
      </w:r>
    </w:p>
    <w:p>
      <w:pPr>
        <w:spacing w:before="0" w:after="0"/>
        <w:ind w:left="120"/>
        <w:jc w:val="both"/>
      </w:pPr>
      <w:r>
        <w:rPr>
          <w:rFonts w:ascii="Times New Roman" w:hAnsi="Times New Roman"/>
          <w:b w:val="false"/>
          <w:i w:val="false"/>
          <w:color w:val="000000"/>
          <w:sz w:val="22"/>
        </w:rPr>
        <w:t>The party upon whom the request is served shall serve a written response within 30 days after the service of the request. The presiding officer for discovery may allow a shorter or longer time. The response shall state, with respect to each item or category, that inspection and related activities will be permitted as requested, unless the request is objected to, in which event the reasons for objection shall be stated. If objection is made to part of an item or category, the part shall be specified.</w:t>
      </w:r>
    </w:p>
    <w:p>
      <w:pPr>
        <w:spacing w:before="0" w:after="0"/>
        <w:ind w:left="120"/>
        <w:jc w:val="both"/>
      </w:pPr>
      <w:r>
        <w:rPr>
          <w:rFonts w:ascii="Times New Roman" w:hAnsi="Times New Roman"/>
          <w:b w:val="false"/>
          <w:i w:val="false"/>
          <w:color w:val="000000"/>
          <w:sz w:val="22"/>
        </w:rPr>
        <w:t xml:space="preserve">The commission may move for an order under rule </w:t>
      </w:r>
      <w:hyperlink r:id="rId73">
        <w:r>
          <w:rPr>
            <w:rStyle w:val="Hyperlink"/>
            <w:rFonts w:ascii="Times New Roman" w:hAnsi="Times New Roman"/>
            <w:b w:val="false"/>
            <w:i w:val="false"/>
            <w:color w:val="000000"/>
            <w:sz w:val="22"/>
          </w:rPr>
          <w:t>161—9.16(216)</w:t>
        </w:r>
      </w:hyperlink>
      <w:r>
        <w:rPr>
          <w:rFonts w:ascii="Times New Roman" w:hAnsi="Times New Roman"/>
          <w:b w:val="false"/>
          <w:i w:val="false"/>
          <w:color w:val="000000"/>
          <w:sz w:val="22"/>
        </w:rPr>
        <w:t xml:space="preserve"> with respect to any objection to or other failure to respond to the request or any part thereof, or any failure to permit inspection as requested.</w:t>
      </w:r>
    </w:p>
    <w:p>
      <w:pPr>
        <w:spacing w:before="210" w:after="0"/>
        <w:ind w:left="120"/>
        <w:jc w:val="both"/>
      </w:pPr>
      <w:r>
        <w:rPr>
          <w:rFonts w:ascii="Times New Roman" w:hAnsi="Times New Roman"/>
          <w:b/>
          <w:i w:val="false"/>
          <w:color w:val="000000"/>
          <w:sz w:val="22"/>
        </w:rPr>
        <w:t>161—9.14</w:t>
      </w:r>
      <w:r>
        <w:rPr>
          <w:rFonts w:ascii="Times New Roman" w:hAnsi="Times New Roman"/>
          <w:b/>
          <w:i w:val="false"/>
          <w:color w:val="000000"/>
          <w:sz w:val="22"/>
        </w:rPr>
        <w:t xml:space="preserve">(216) </w:t>
      </w:r>
      <w:r>
        <w:rPr>
          <w:rFonts w:ascii="Times New Roman" w:hAnsi="Times New Roman"/>
          <w:b/>
          <w:i w:val="false"/>
          <w:color w:val="000000"/>
          <w:sz w:val="22"/>
        </w:rPr>
        <w:t xml:space="preserve">Physical and mental examination of persons. </w:t>
      </w:r>
      <w:r>
        <w:rPr>
          <w:rFonts w:ascii="Times New Roman" w:hAnsi="Times New Roman"/>
          <w:b w:val="false"/>
          <w:i w:val="false"/>
          <w:color w:val="000000"/>
          <w:sz w:val="22"/>
        </w:rPr>
        <w:t>When the mental or physical condition (including the blood group) of a party, or of a person in the custody or under the legal control of a party, is in controversy, the presiding officer for discovery may order the party to submit to a physical or mental examination by a health care practitioner or to produce for examination the person in the party’s custody or legal control. The order may be made only on motion of the commission for good cause shown and upon notice to the person to be examined and to all parties and shall specify the time, place, manner, conditions, and scope of the examination and the person or persons by whom it is to be made.</w:t>
      </w:r>
    </w:p>
    <w:p>
      <w:pPr>
        <w:spacing w:before="0" w:after="0"/>
        <w:ind w:left="120"/>
        <w:jc w:val="both"/>
      </w:pPr>
      <w:r>
        <w:rPr>
          <w:rFonts w:ascii="Times New Roman" w:hAnsi="Times New Roman"/>
          <w:b/>
          <w:i w:val="false"/>
          <w:color w:val="000000"/>
          <w:sz w:val="22"/>
        </w:rPr>
        <w:t>161—9.15</w:t>
      </w:r>
      <w:r>
        <w:rPr>
          <w:rFonts w:ascii="Times New Roman" w:hAnsi="Times New Roman"/>
          <w:b/>
          <w:i w:val="false"/>
          <w:color w:val="000000"/>
          <w:sz w:val="22"/>
        </w:rPr>
        <w:t xml:space="preserve">(216) </w:t>
      </w:r>
      <w:r>
        <w:rPr>
          <w:rFonts w:ascii="Times New Roman" w:hAnsi="Times New Roman"/>
          <w:b/>
          <w:i w:val="false"/>
          <w:color w:val="000000"/>
          <w:sz w:val="22"/>
        </w:rPr>
        <w:t xml:space="preserve">Report of health care practitioner.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requested by the party against whom an order is made under rule </w:t>
      </w:r>
      <w:hyperlink r:id="rId74">
        <w:r>
          <w:rPr>
            <w:rStyle w:val="Hyperlink"/>
            <w:rFonts w:ascii="Times New Roman" w:hAnsi="Times New Roman"/>
            <w:b w:val="false"/>
            <w:i w:val="false"/>
            <w:color w:val="000000"/>
            <w:sz w:val="22"/>
          </w:rPr>
          <w:t>161—9.14(216)</w:t>
        </w:r>
      </w:hyperlink>
      <w:r>
        <w:rPr>
          <w:rFonts w:ascii="Times New Roman" w:hAnsi="Times New Roman"/>
          <w:b w:val="false"/>
          <w:i w:val="false"/>
          <w:color w:val="000000"/>
          <w:sz w:val="22"/>
        </w:rPr>
        <w:t xml:space="preserve"> or the person examined, the commission shall deliver a copy of the examiner’s detailed written report setting out the findings, including results of all tests made, diagnosis and conclusions, together with like reports of all earlier examinations of the same condition. After delivery, if requested by the commission, the party against whom the order is made shall deliver a like report of any examination of the same condition, previously or thereafter made, unless the party shows an inability to obtain a report of examination of a nonparty. The presiding officer for discovery on motion may order a party or the commission to deliver a report on such terms as are just. If an examiner fails or refuses to make a report, a court or administrative law judge hearing a case based on the complaint at issue may exclude the examiner’s testimony.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By requesting and obtaining a report of the examination so ordered, the party examined waives any privilege the party may have in that action or any other proceeding involving the same controversy, regarding the testimony of every other person who has examined or may thereafter examine the party in respect of the same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9.15(3)</w:t>
      </w:r>
      <w:r>
        <w:rPr>
          <w:rFonts w:ascii="Times New Roman" w:hAnsi="Times New Roman"/>
          <w:b w:val="false"/>
          <w:i w:val="false"/>
          <w:color w:val="000000"/>
          <w:sz w:val="22"/>
        </w:rPr>
        <w:t> </w:t>
      </w:r>
      <w:r>
        <w:rPr>
          <w:rFonts w:ascii="Times New Roman" w:hAnsi="Times New Roman"/>
          <w:b w:val="false"/>
          <w:i w:val="false"/>
          <w:color w:val="000000"/>
          <w:sz w:val="22"/>
        </w:rPr>
        <w:t>This rule applies to examination made by agreement, unless the agreement expressly provides otherwise.</w:t>
      </w:r>
    </w:p>
    <w:p>
      <w:pPr>
        <w:spacing w:before="0" w:after="0"/>
        <w:ind w:left="120"/>
        <w:jc w:val="both"/>
      </w:pPr>
      <w:r>
        <w:rPr>
          <w:rFonts w:ascii="Times New Roman" w:hAnsi="Times New Roman"/>
          <w:b/>
          <w:i w:val="false"/>
          <w:color w:val="000000"/>
          <w:sz w:val="22"/>
        </w:rPr>
        <w:t>161—9.16</w:t>
      </w:r>
      <w:r>
        <w:rPr>
          <w:rFonts w:ascii="Times New Roman" w:hAnsi="Times New Roman"/>
          <w:b/>
          <w:i w:val="false"/>
          <w:color w:val="000000"/>
          <w:sz w:val="22"/>
        </w:rPr>
        <w:t xml:space="preserve">(216) </w:t>
      </w:r>
      <w:r>
        <w:rPr>
          <w:rFonts w:ascii="Times New Roman" w:hAnsi="Times New Roman"/>
          <w:b/>
          <w:i w:val="false"/>
          <w:color w:val="000000"/>
          <w:sz w:val="22"/>
        </w:rPr>
        <w:t xml:space="preserve">Consequences of failure to make 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9.16(1)</w:t>
      </w:r>
      <w:r>
        <w:rPr>
          <w:rFonts w:ascii="Times New Roman" w:hAnsi="Times New Roman"/>
          <w:b w:val="false"/>
          <w:i w:val="false"/>
          <w:color w:val="000000"/>
          <w:sz w:val="22"/>
        </w:rPr>
        <w:t> </w:t>
      </w:r>
      <w:r>
        <w:rPr>
          <w:rFonts w:ascii="Times New Roman" w:hAnsi="Times New Roman"/>
          <w:b w:val="false"/>
          <w:i/>
          <w:color w:val="000000"/>
          <w:sz w:val="22"/>
        </w:rPr>
        <w:t xml:space="preserve">Motion for order compelling discovery. </w:t>
      </w:r>
      <w:r>
        <w:rPr>
          <w:rFonts w:ascii="Times New Roman" w:hAnsi="Times New Roman"/>
          <w:b w:val="false"/>
          <w:i w:val="false"/>
          <w:color w:val="000000"/>
          <w:sz w:val="22"/>
        </w:rPr>
        <w:t>The commission, upon reasonable notice to the party from whom discovery was sought and all persons affected thereby, may move for an order compelling discovery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Appropriate officer. </w:t>
      </w:r>
      <w:r>
        <w:rPr>
          <w:rFonts w:ascii="Times New Roman" w:hAnsi="Times New Roman"/>
          <w:b w:val="false"/>
          <w:i w:val="false"/>
          <w:color w:val="000000"/>
          <w:sz w:val="22"/>
        </w:rPr>
        <w:t>A motion to compel discovery shall be made to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 xml:space="preserve">If a deponent fails to answer a question propounded or submitted under rule </w:t>
      </w:r>
      <w:hyperlink r:id="rId75">
        <w:r>
          <w:rPr>
            <w:rStyle w:val="Hyperlink"/>
            <w:rFonts w:ascii="Times New Roman" w:hAnsi="Times New Roman"/>
            <w:b w:val="false"/>
            <w:i w:val="false"/>
            <w:color w:val="000000"/>
            <w:sz w:val="22"/>
          </w:rPr>
          <w:t>161—9.17(216)</w:t>
        </w:r>
      </w:hyperlink>
      <w:r>
        <w:rPr>
          <w:rFonts w:ascii="Times New Roman" w:hAnsi="Times New Roman"/>
          <w:b w:val="false"/>
          <w:i w:val="false"/>
          <w:color w:val="000000"/>
          <w:sz w:val="22"/>
        </w:rPr>
        <w:t xml:space="preserve">, or a corporation or other entity fails to make a designation under subrule </w:t>
      </w:r>
      <w:hyperlink r:id="rId76">
        <w:r>
          <w:rPr>
            <w:rStyle w:val="Hyperlink"/>
            <w:rFonts w:ascii="Times New Roman" w:hAnsi="Times New Roman"/>
            <w:b w:val="false"/>
            <w:i w:val="false"/>
            <w:color w:val="000000"/>
            <w:sz w:val="22"/>
          </w:rPr>
          <w:t>9.18(5)</w:t>
        </w:r>
      </w:hyperlink>
      <w:r>
        <w:rPr>
          <w:rFonts w:ascii="Times New Roman" w:hAnsi="Times New Roman"/>
          <w:b w:val="false"/>
          <w:i w:val="false"/>
          <w:color w:val="000000"/>
          <w:sz w:val="22"/>
        </w:rPr>
        <w:t xml:space="preserve">, or a party fails to answer an interrogatory submitted under rule </w:t>
      </w:r>
      <w:hyperlink r:id="rId77">
        <w:r>
          <w:rPr>
            <w:rStyle w:val="Hyperlink"/>
            <w:rFonts w:ascii="Times New Roman" w:hAnsi="Times New Roman"/>
            <w:b w:val="false"/>
            <w:i w:val="false"/>
            <w:color w:val="000000"/>
            <w:sz w:val="22"/>
          </w:rPr>
          <w:t>161—9.9(216)</w:t>
        </w:r>
      </w:hyperlink>
      <w:r>
        <w:rPr>
          <w:rFonts w:ascii="Times New Roman" w:hAnsi="Times New Roman"/>
          <w:b w:val="false"/>
          <w:i w:val="false"/>
          <w:color w:val="000000"/>
          <w:sz w:val="22"/>
        </w:rPr>
        <w:t xml:space="preserve">, or if a party, in response to a request for inspection submitted under rule </w:t>
      </w:r>
      <w:hyperlink r:id="rId78">
        <w:r>
          <w:rPr>
            <w:rStyle w:val="Hyperlink"/>
            <w:rFonts w:ascii="Times New Roman" w:hAnsi="Times New Roman"/>
            <w:b w:val="false"/>
            <w:i w:val="false"/>
            <w:color w:val="000000"/>
            <w:sz w:val="22"/>
          </w:rPr>
          <w:t>161—9.12(216)</w:t>
        </w:r>
      </w:hyperlink>
      <w:r>
        <w:rPr>
          <w:rFonts w:ascii="Times New Roman" w:hAnsi="Times New Roman"/>
          <w:b w:val="false"/>
          <w:i w:val="false"/>
          <w:color w:val="000000"/>
          <w:sz w:val="22"/>
        </w:rPr>
        <w:t>, fails to respond that inspection will be permitted as requested or fails to permit inspection as requested, the commission may move for an order compelling an answer, a designation, or an inspection in accordance with the request. When taking a deposition on oral examination, the commission may complete or adjourn the examination before moving for an order.</w:t>
      </w:r>
    </w:p>
    <w:p>
      <w:pPr>
        <w:spacing w:before="0" w:after="0"/>
        <w:ind w:left="120"/>
        <w:jc w:val="both"/>
      </w:pPr>
      <w:r>
        <w:rPr>
          <w:rFonts w:ascii="Times New Roman" w:hAnsi="Times New Roman"/>
          <w:b w:val="false"/>
          <w:i w:val="false"/>
          <w:color w:val="000000"/>
          <w:sz w:val="22"/>
        </w:rPr>
        <w:t xml:space="preserve">Any order granting a motion made under this rule shall include a statement that a failure to comply with the order may result in the imposition of sanctions pursuant to rule </w:t>
      </w:r>
      <w:hyperlink r:id="rId79">
        <w:r>
          <w:rPr>
            <w:rStyle w:val="Hyperlink"/>
            <w:rFonts w:ascii="Times New Roman" w:hAnsi="Times New Roman"/>
            <w:b w:val="false"/>
            <w:i w:val="false"/>
            <w:color w:val="000000"/>
            <w:sz w:val="22"/>
          </w:rPr>
          <w:t>161—9.16(216)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ruling on such motion, the presiding officer for discovery may make such protective order as the presiding officer for discovery would have been empowered to make on a motion pursuant to subrule </w:t>
      </w:r>
      <w:hyperlink r:id="rId80">
        <w:r>
          <w:rPr>
            <w:rStyle w:val="Hyperlink"/>
            <w:rFonts w:ascii="Times New Roman" w:hAnsi="Times New Roman"/>
            <w:b w:val="false"/>
            <w:i w:val="false"/>
            <w:color w:val="000000"/>
            <w:sz w:val="22"/>
          </w:rPr>
          <w:t>161—9.8(1)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Evasive or incomplete answer. </w:t>
      </w:r>
      <w:r>
        <w:rPr>
          <w:rFonts w:ascii="Times New Roman" w:hAnsi="Times New Roman"/>
          <w:b w:val="false"/>
          <w:i w:val="false"/>
          <w:color w:val="000000"/>
          <w:sz w:val="22"/>
        </w:rPr>
        <w:t>For purposes of this subrule an evasive or incomplete answer is to be treated as a failure to answer.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Award of expenses of motion. </w:t>
      </w:r>
      <w:r>
        <w:rPr>
          <w:rFonts w:ascii="Times New Roman" w:hAnsi="Times New Roman"/>
          <w:b w:val="false"/>
          <w:i w:val="false"/>
          <w:color w:val="000000"/>
          <w:sz w:val="22"/>
        </w:rPr>
        <w:t>If the motion is granted, the presiding officer for discovery shall, after opportunity for hearing, require the party or deponent whose conduct necessitated the motion or the party or attorney advising such conduct or both of them to pay to the commission the reasonable expenses incurred in obtaining the order, including attorneys’ fees, unless the presiding officer for discovery finds that the opposition to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denied, the presiding officer for discovery shall, after opportunity for hearing, require the commission to pay to the party or deponent who opposed the motion the reasonable expenses incurred in opposing the motion, including attorneys’ fees, unless the presiding officer for discovery finds that the making of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granted in part and denied in part, the presiding officer for discovery may apportion in a just manner the reasonable expenses incurred in relation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to party. </w:t>
      </w:r>
      <w:r>
        <w:rPr>
          <w:rFonts w:ascii="Times New Roman" w:hAnsi="Times New Roman"/>
          <w:b w:val="false"/>
          <w:i w:val="false"/>
          <w:color w:val="000000"/>
          <w:sz w:val="22"/>
        </w:rPr>
        <w:t>If the motion is granted, the presiding officer for discovery shall mail or cause to have mailed a copy of the order to counsel and to the party or parties whose conduct, individually or by counsel, necessitated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9.16(2)</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Sanctions by court in district where deposition is taken. </w:t>
      </w:r>
      <w:r>
        <w:rPr>
          <w:rFonts w:ascii="Times New Roman" w:hAnsi="Times New Roman"/>
          <w:b w:val="false"/>
          <w:i w:val="false"/>
          <w:color w:val="000000"/>
          <w:sz w:val="22"/>
        </w:rPr>
        <w:t>If a deponent fails to be sworn or to answer a question after being directed to do so by the presiding officer for discovery, the office of the attorney general may petition for enforcement of that order in the judicial district in which the deposition is being taken. Failure by the deponent to obey an order of enforcement from the district court may be considered a contempt of that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Sanctions by the presiding officer for discovery. </w:t>
      </w:r>
      <w:r>
        <w:rPr>
          <w:rFonts w:ascii="Times New Roman" w:hAnsi="Times New Roman"/>
          <w:b w:val="false"/>
          <w:i w:val="false"/>
          <w:color w:val="000000"/>
          <w:sz w:val="22"/>
        </w:rPr>
        <w:t xml:space="preserve">If a party or an officer, director, or managing agent of a party or a person designated under subrule </w:t>
      </w:r>
      <w:hyperlink r:id="rId81">
        <w:r>
          <w:rPr>
            <w:rStyle w:val="Hyperlink"/>
            <w:rFonts w:ascii="Times New Roman" w:hAnsi="Times New Roman"/>
            <w:b w:val="false"/>
            <w:i w:val="false"/>
            <w:color w:val="000000"/>
            <w:sz w:val="22"/>
          </w:rPr>
          <w:t>9.18(5)</w:t>
        </w:r>
      </w:hyperlink>
      <w:r>
        <w:rPr>
          <w:rFonts w:ascii="Times New Roman" w:hAnsi="Times New Roman"/>
          <w:b w:val="false"/>
          <w:i w:val="false"/>
          <w:color w:val="000000"/>
          <w:sz w:val="22"/>
        </w:rPr>
        <w:t xml:space="preserve"> to testify on behalf of a party fails to obey an order to provide or permit discovery, including an order made under </w:t>
      </w:r>
      <w:hyperlink r:id="rId82">
        <w:r>
          <w:rPr>
            <w:rStyle w:val="Hyperlink"/>
            <w:rFonts w:ascii="Times New Roman" w:hAnsi="Times New Roman"/>
            <w:b w:val="false"/>
            <w:i w:val="false"/>
            <w:color w:val="000000"/>
            <w:sz w:val="22"/>
          </w:rPr>
          <w:t>9.16(1)</w:t>
        </w:r>
      </w:hyperlink>
      <w:r>
        <w:rPr>
          <w:rFonts w:ascii="Times New Roman" w:hAnsi="Times New Roman"/>
          <w:b w:val="false"/>
          <w:i w:val="false"/>
          <w:color w:val="000000"/>
          <w:sz w:val="22"/>
        </w:rPr>
        <w:t xml:space="preserve"> or under rule </w:t>
      </w:r>
      <w:hyperlink r:id="rId83">
        <w:r>
          <w:rPr>
            <w:rStyle w:val="Hyperlink"/>
            <w:rFonts w:ascii="Times New Roman" w:hAnsi="Times New Roman"/>
            <w:b w:val="false"/>
            <w:i w:val="false"/>
            <w:color w:val="000000"/>
            <w:sz w:val="22"/>
          </w:rPr>
          <w:t>161—9.14(216)</w:t>
        </w:r>
      </w:hyperlink>
      <w:r>
        <w:rPr>
          <w:rFonts w:ascii="Times New Roman" w:hAnsi="Times New Roman"/>
          <w:b w:val="false"/>
          <w:i w:val="false"/>
          <w:color w:val="000000"/>
          <w:sz w:val="22"/>
        </w:rPr>
        <w:t>, the presiding officer for discovery may make such orders in regard to the failure as are just, and among others,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order that the matters regarding which the order was made or any other designated facts shall be taken to be established for the purposes of any action or proceeding relating to the subject matter of the investigation in accordance with the claim of the party opposing the position of the disobedient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order refusing to allow the disobedient party to support or oppose designated claims or defenses, or prohibiting such party from introducing designated matters in evidence in any action or proceeding relating to the subject matter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order striking out pleadings or parts thereof, or staying further proceedings until the order is obeyed, or dismissing the action or proceeding or any part thereof, or rendering a judgment by default against the disobedient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lieu of any of the foregoing orders or in addition thereto, the presiding officer for discovery shall require the disobedient party or the attorney advising such party or both to pay the reasonable expenses, including attorneys’ fees, caused by the failure, unless the presiding officer for discovery finds that the failure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Enforcement petition. </w:t>
      </w:r>
      <w:r>
        <w:rPr>
          <w:rFonts w:ascii="Times New Roman" w:hAnsi="Times New Roman"/>
          <w:b w:val="false"/>
          <w:i w:val="false"/>
          <w:color w:val="000000"/>
          <w:sz w:val="22"/>
        </w:rPr>
        <w:t xml:space="preserve">In addition to any of the alternatives of paragraph </w:t>
      </w:r>
      <w:r>
        <w:rPr>
          <w:rFonts w:ascii="Times New Roman" w:hAnsi="Times New Roman"/>
          <w:b w:val="false"/>
          <w:i/>
          <w:color w:val="000000"/>
          <w:sz w:val="22"/>
        </w:rPr>
        <w:t>“b”</w:t>
      </w:r>
      <w:r>
        <w:rPr>
          <w:rFonts w:ascii="Times New Roman" w:hAnsi="Times New Roman"/>
          <w:b w:val="false"/>
          <w:i w:val="false"/>
          <w:color w:val="000000"/>
          <w:sz w:val="22"/>
        </w:rPr>
        <w:t xml:space="preserve"> above, the office of the attorney general may petition for enforcement of the order compelling discovery in the appropriate judicial district. Failure by a party to obey an order of enforcement from the district court may be considered a contempt of that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9.16(3)</w:t>
      </w:r>
      <w:r>
        <w:rPr>
          <w:rFonts w:ascii="Times New Roman" w:hAnsi="Times New Roman"/>
          <w:b w:val="false"/>
          <w:i w:val="false"/>
          <w:color w:val="000000"/>
          <w:sz w:val="22"/>
        </w:rPr>
        <w:t> </w:t>
      </w:r>
      <w:r>
        <w:rPr>
          <w:rFonts w:ascii="Times New Roman" w:hAnsi="Times New Roman"/>
          <w:b w:val="false"/>
          <w:i/>
          <w:color w:val="000000"/>
          <w:sz w:val="22"/>
        </w:rPr>
        <w:t xml:space="preserve">Expenses on failure to admit. </w:t>
      </w:r>
      <w:r>
        <w:rPr>
          <w:rFonts w:ascii="Times New Roman" w:hAnsi="Times New Roman"/>
          <w:b w:val="false"/>
          <w:i w:val="false"/>
          <w:color w:val="000000"/>
          <w:sz w:val="22"/>
        </w:rPr>
        <w:t xml:space="preserve">If a party fails to admit the genuineness of any document or the truth of any matter as requested under rule </w:t>
      </w:r>
      <w:hyperlink r:id="rId84">
        <w:r>
          <w:rPr>
            <w:rStyle w:val="Hyperlink"/>
            <w:rFonts w:ascii="Times New Roman" w:hAnsi="Times New Roman"/>
            <w:b w:val="false"/>
            <w:i w:val="false"/>
            <w:color w:val="000000"/>
            <w:sz w:val="22"/>
          </w:rPr>
          <w:t>161—9.10(216)</w:t>
        </w:r>
      </w:hyperlink>
      <w:r>
        <w:rPr>
          <w:rFonts w:ascii="Times New Roman" w:hAnsi="Times New Roman"/>
          <w:b w:val="false"/>
          <w:i w:val="false"/>
          <w:color w:val="000000"/>
          <w:sz w:val="22"/>
        </w:rPr>
        <w:t>, and if the commission thereafter proves the genuineness of the document or the truth of the matter, the commission may move for an order requiring the party to pay the reasonable expenses incurred in making that proof, including reasonable attorneys’ fees. The presiding officer for discovery shall make the order unless the presiding officer for discovery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was held objectionable pursuant to rule </w:t>
      </w:r>
      <w:hyperlink r:id="rId85">
        <w:r>
          <w:rPr>
            <w:rStyle w:val="Hyperlink"/>
            <w:rFonts w:ascii="Times New Roman" w:hAnsi="Times New Roman"/>
            <w:b w:val="false"/>
            <w:i w:val="false"/>
            <w:color w:val="000000"/>
            <w:sz w:val="22"/>
          </w:rPr>
          <w:t>161—9.10(216)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admission sought was of no substantial importance,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 failing to admit had reasonable ground to believe that the party might prevail on the matter,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was other good reason for the failure to admit.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9.16(4)</w:t>
      </w:r>
      <w:r>
        <w:rPr>
          <w:rFonts w:ascii="Times New Roman" w:hAnsi="Times New Roman"/>
          <w:b w:val="false"/>
          <w:i w:val="false"/>
          <w:color w:val="000000"/>
          <w:sz w:val="22"/>
        </w:rPr>
        <w:t> </w:t>
      </w:r>
      <w:r>
        <w:rPr>
          <w:rFonts w:ascii="Times New Roman" w:hAnsi="Times New Roman"/>
          <w:b w:val="false"/>
          <w:i/>
          <w:color w:val="000000"/>
          <w:sz w:val="22"/>
        </w:rPr>
        <w:t xml:space="preserve">Failure of party to attend at own deposition or serve answers to interrogatories or respond to request for inspection. </w:t>
      </w:r>
      <w:r>
        <w:rPr>
          <w:rFonts w:ascii="Times New Roman" w:hAnsi="Times New Roman"/>
          <w:b w:val="false"/>
          <w:i w:val="false"/>
          <w:color w:val="000000"/>
          <w:sz w:val="22"/>
        </w:rPr>
        <w:t xml:space="preserve">If a party or an officer, director, or managing agent of a party or a person designated under subrule </w:t>
      </w:r>
      <w:hyperlink r:id="rId86">
        <w:r>
          <w:rPr>
            <w:rStyle w:val="Hyperlink"/>
            <w:rFonts w:ascii="Times New Roman" w:hAnsi="Times New Roman"/>
            <w:b w:val="false"/>
            <w:i w:val="false"/>
            <w:color w:val="000000"/>
            <w:sz w:val="22"/>
          </w:rPr>
          <w:t>9.18(5)</w:t>
        </w:r>
      </w:hyperlink>
      <w:r>
        <w:rPr>
          <w:rFonts w:ascii="Times New Roman" w:hAnsi="Times New Roman"/>
          <w:b w:val="false"/>
          <w:i w:val="false"/>
          <w:color w:val="000000"/>
          <w:sz w:val="22"/>
        </w:rPr>
        <w:t xml:space="preserve"> to testify on behalf of a party fails to appear before the officer who is to take the person’s deposition, after being served with a proper notice; or to serve answers or objections to interrogatories submitted under rule </w:t>
      </w:r>
      <w:hyperlink r:id="rId87">
        <w:r>
          <w:rPr>
            <w:rStyle w:val="Hyperlink"/>
            <w:rFonts w:ascii="Times New Roman" w:hAnsi="Times New Roman"/>
            <w:b w:val="false"/>
            <w:i w:val="false"/>
            <w:color w:val="000000"/>
            <w:sz w:val="22"/>
          </w:rPr>
          <w:t>161—9.9(216)</w:t>
        </w:r>
      </w:hyperlink>
      <w:r>
        <w:rPr>
          <w:rFonts w:ascii="Times New Roman" w:hAnsi="Times New Roman"/>
          <w:b w:val="false"/>
          <w:i w:val="false"/>
          <w:color w:val="000000"/>
          <w:sz w:val="22"/>
        </w:rPr>
        <w:t xml:space="preserve">, after proper service of the interrogatories; or to serve a written response to a request for inspection submitted under rule </w:t>
      </w:r>
      <w:hyperlink r:id="rId88">
        <w:r>
          <w:rPr>
            <w:rStyle w:val="Hyperlink"/>
            <w:rFonts w:ascii="Times New Roman" w:hAnsi="Times New Roman"/>
            <w:b w:val="false"/>
            <w:i w:val="false"/>
            <w:color w:val="000000"/>
            <w:sz w:val="22"/>
          </w:rPr>
          <w:t>161—9.12(216)</w:t>
        </w:r>
      </w:hyperlink>
      <w:r>
        <w:rPr>
          <w:rFonts w:ascii="Times New Roman" w:hAnsi="Times New Roman"/>
          <w:b w:val="false"/>
          <w:i w:val="false"/>
          <w:color w:val="000000"/>
          <w:sz w:val="22"/>
        </w:rPr>
        <w:t xml:space="preserve">, after proper service of the request, the presiding officer for discovery on motion of the commission may make such orders in regard to the failure as are just, and among others it may take any action authorized under </w:t>
      </w:r>
      <w:hyperlink r:id="rId89">
        <w:r>
          <w:rPr>
            <w:rStyle w:val="Hyperlink"/>
            <w:rFonts w:ascii="Times New Roman" w:hAnsi="Times New Roman"/>
            <w:b w:val="false"/>
            <w:i w:val="false"/>
            <w:color w:val="000000"/>
            <w:sz w:val="22"/>
          </w:rPr>
          <w:t>9.16(2)</w:t>
        </w:r>
      </w:hyperlink>
      <w:r>
        <w:rPr>
          <w:rFonts w:ascii="Times New Roman" w:hAnsi="Times New Roman"/>
          <w:b w:val="false"/>
          <w:i/>
          <w:color w:val="000000"/>
          <w:sz w:val="22"/>
        </w:rPr>
        <w:t>“b”</w:t>
      </w:r>
      <w:r>
        <w:rPr>
          <w:rFonts w:ascii="Times New Roman" w:hAnsi="Times New Roman"/>
          <w:b w:val="false"/>
          <w:i w:val="false"/>
          <w:color w:val="000000"/>
          <w:sz w:val="22"/>
        </w:rPr>
        <w:t>(1) to (4).</w:t>
      </w:r>
    </w:p>
    <w:p>
      <w:pPr>
        <w:spacing w:before="0" w:after="0"/>
        <w:ind w:left="120"/>
        <w:jc w:val="both"/>
      </w:pPr>
      <w:r>
        <w:rPr>
          <w:rFonts w:ascii="Times New Roman" w:hAnsi="Times New Roman"/>
          <w:b w:val="false"/>
          <w:i w:val="false"/>
          <w:color w:val="000000"/>
          <w:sz w:val="22"/>
        </w:rPr>
        <w:t xml:space="preserve">The failure to act described in this subrule may not be excused on the ground that the discovery sought is objectionable unless the party failing to act has applied for a protective order as provided by rule </w:t>
      </w:r>
      <w:hyperlink r:id="rId90">
        <w:r>
          <w:rPr>
            <w:rStyle w:val="Hyperlink"/>
            <w:rFonts w:ascii="Times New Roman" w:hAnsi="Times New Roman"/>
            <w:b w:val="false"/>
            <w:i w:val="false"/>
            <w:color w:val="000000"/>
            <w:sz w:val="22"/>
          </w:rPr>
          <w:t>161—9.8(216)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9.16(5)</w:t>
      </w:r>
      <w:r>
        <w:rPr>
          <w:rFonts w:ascii="Times New Roman" w:hAnsi="Times New Roman"/>
          <w:b w:val="false"/>
          <w:i w:val="false"/>
          <w:color w:val="000000"/>
          <w:sz w:val="22"/>
        </w:rPr>
        <w:t> </w:t>
      </w:r>
      <w:r>
        <w:rPr>
          <w:rFonts w:ascii="Times New Roman" w:hAnsi="Times New Roman"/>
          <w:b w:val="false"/>
          <w:i/>
          <w:color w:val="000000"/>
          <w:sz w:val="22"/>
        </w:rPr>
        <w:t xml:space="preserve">Motions relating to discovery. </w:t>
      </w:r>
      <w:r>
        <w:rPr>
          <w:rFonts w:ascii="Times New Roman" w:hAnsi="Times New Roman"/>
          <w:b w:val="false"/>
          <w:i w:val="false"/>
          <w:color w:val="000000"/>
          <w:sz w:val="22"/>
        </w:rPr>
        <w:t>No motion relating to depositions or discovery shall be filed or considered by the presiding officer for discovery unless the motion alleges that the movant has made a good-faith but unsuccessful attempt to resolve the issues raised by the motion with counsel for the party or entity whom the motion concerns without intervention of the presiding officer for discovery.</w:t>
      </w:r>
    </w:p>
    <w:p>
      <w:pPr>
        <w:spacing w:before="0" w:after="0"/>
        <w:ind w:left="120"/>
        <w:jc w:val="both"/>
      </w:pPr>
      <w:r>
        <w:rPr>
          <w:rFonts w:ascii="Times New Roman" w:hAnsi="Times New Roman"/>
          <w:b/>
          <w:i w:val="false"/>
          <w:color w:val="000000"/>
          <w:sz w:val="22"/>
        </w:rPr>
        <w:t>161—9.17</w:t>
      </w:r>
      <w:r>
        <w:rPr>
          <w:rFonts w:ascii="Times New Roman" w:hAnsi="Times New Roman"/>
          <w:b/>
          <w:i w:val="false"/>
          <w:color w:val="000000"/>
          <w:sz w:val="22"/>
        </w:rPr>
        <w:t xml:space="preserve">(216) </w:t>
      </w:r>
      <w:r>
        <w:rPr>
          <w:rFonts w:ascii="Times New Roman" w:hAnsi="Times New Roman"/>
          <w:b/>
          <w:i w:val="false"/>
          <w:color w:val="000000"/>
          <w:sz w:val="22"/>
        </w:rPr>
        <w:t xml:space="preserve">Depositions upon oral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9.17(1)</w:t>
      </w:r>
      <w:r>
        <w:rPr>
          <w:rFonts w:ascii="Times New Roman" w:hAnsi="Times New Roman"/>
          <w:b w:val="false"/>
          <w:i w:val="false"/>
          <w:color w:val="000000"/>
          <w:sz w:val="22"/>
        </w:rPr>
        <w:t> </w:t>
      </w:r>
      <w:r>
        <w:rPr>
          <w:rFonts w:ascii="Times New Roman" w:hAnsi="Times New Roman"/>
          <w:b w:val="false"/>
          <w:i/>
          <w:color w:val="000000"/>
          <w:sz w:val="22"/>
        </w:rPr>
        <w:t xml:space="preserve">When depositions may be taken. </w:t>
      </w:r>
      <w:r>
        <w:rPr>
          <w:rFonts w:ascii="Times New Roman" w:hAnsi="Times New Roman"/>
          <w:b w:val="false"/>
          <w:i w:val="false"/>
          <w:color w:val="000000"/>
          <w:sz w:val="22"/>
        </w:rPr>
        <w:t>The commission may take a deposition in an investigation of a complaint of housing discrimination at any time during the pendency of that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9.17(2)</w:t>
      </w:r>
      <w:r>
        <w:rPr>
          <w:rFonts w:ascii="Times New Roman" w:hAnsi="Times New Roman"/>
          <w:b w:val="false"/>
          <w:i w:val="false"/>
          <w:color w:val="000000"/>
          <w:sz w:val="22"/>
        </w:rPr>
        <w:t> </w:t>
      </w:r>
      <w:r>
        <w:rPr>
          <w:rFonts w:ascii="Times New Roman" w:hAnsi="Times New Roman"/>
          <w:b w:val="false"/>
          <w:i/>
          <w:color w:val="000000"/>
          <w:sz w:val="22"/>
        </w:rPr>
        <w:t xml:space="preserve">Recording. </w:t>
      </w:r>
      <w:r>
        <w:rPr>
          <w:rFonts w:ascii="Times New Roman" w:hAnsi="Times New Roman"/>
          <w:b w:val="false"/>
          <w:i w:val="false"/>
          <w:color w:val="000000"/>
          <w:sz w:val="22"/>
        </w:rPr>
        <w:t xml:space="preserve">The administrative law judge charged with the duty of determining probable cause under Iowa Code subsection </w:t>
      </w:r>
      <w:hyperlink r:id="rId91">
        <w:r>
          <w:rPr>
            <w:rStyle w:val="Hyperlink"/>
            <w:rFonts w:ascii="Times New Roman" w:hAnsi="Times New Roman"/>
            <w:b w:val="false"/>
            <w:i w:val="false"/>
            <w:color w:val="000000"/>
            <w:sz w:val="22"/>
          </w:rPr>
          <w:t>216.15(3)</w:t>
        </w:r>
      </w:hyperlink>
      <w:r>
        <w:rPr>
          <w:rFonts w:ascii="Times New Roman" w:hAnsi="Times New Roman"/>
          <w:b w:val="false"/>
          <w:i w:val="false"/>
          <w:color w:val="000000"/>
          <w:sz w:val="22"/>
        </w:rPr>
        <w:t xml:space="preserve"> may order that the testimony at such an investigative deposition be recorded by other than stenographic means, in which event the order shall designate the manner of recording the deposition, and may include other provisions to ensure that the recorded testimony will be accurate and trustworthy. If the order is made, the party from whom discovery is sought or the deponent may nevertheless arrange to have a stenographic transcription made at that party’s or deponent’s own expense. An order of the administrative law judge is not required to record testimony by nonstenographic means if the deposition is also to be recorded stenographically.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9.17(3)</w:t>
      </w:r>
      <w:r>
        <w:rPr>
          <w:rFonts w:ascii="Times New Roman" w:hAnsi="Times New Roman"/>
          <w:b w:val="false"/>
          <w:i w:val="false"/>
          <w:color w:val="000000"/>
          <w:sz w:val="22"/>
        </w:rPr>
        <w:t> </w:t>
      </w:r>
      <w:r>
        <w:rPr>
          <w:rFonts w:ascii="Times New Roman" w:hAnsi="Times New Roman"/>
          <w:b w:val="false"/>
          <w:i/>
          <w:color w:val="000000"/>
          <w:sz w:val="22"/>
        </w:rPr>
        <w:t xml:space="preserve">Place of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depositions may be taken only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deponent is a party or the officer, partner or managing agent of a party which is not a natural person, the deponent shall be required to submit to examination in Polk County, unless otherwise ordered by the presiding officer for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9.17(4)</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expenses. </w:t>
      </w:r>
      <w:r>
        <w:rPr>
          <w:rFonts w:ascii="Times New Roman" w:hAnsi="Times New Roman"/>
          <w:b w:val="false"/>
          <w:i w:val="false"/>
          <w:color w:val="000000"/>
          <w:sz w:val="22"/>
        </w:rPr>
        <w:t>If the commission official fails to attend and proceed with a noticed deposition and the party from whom discovery is sought attends in person or by attorney pursuant to the notice, the presiding officer for discovery may order the commission to pay to such party the reasonable expenses incurred by the party and the other party’s attorney in attending, including reasonable 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9.17(5)</w:t>
      </w:r>
      <w:r>
        <w:rPr>
          <w:rFonts w:ascii="Times New Roman" w:hAnsi="Times New Roman"/>
          <w:b w:val="false"/>
          <w:i w:val="false"/>
          <w:color w:val="000000"/>
          <w:sz w:val="22"/>
        </w:rPr>
        <w:t> </w:t>
      </w:r>
      <w:r>
        <w:rPr>
          <w:rFonts w:ascii="Times New Roman" w:hAnsi="Times New Roman"/>
          <w:b w:val="false"/>
          <w:i/>
          <w:color w:val="000000"/>
          <w:sz w:val="22"/>
        </w:rPr>
        <w:t xml:space="preserve">Depositions by telephone. </w:t>
      </w:r>
      <w:r>
        <w:rPr>
          <w:rFonts w:ascii="Times New Roman" w:hAnsi="Times New Roman"/>
          <w:b w:val="false"/>
          <w:i w:val="false"/>
          <w:color w:val="000000"/>
          <w:sz w:val="22"/>
        </w:rPr>
        <w:t>Any deposition permitted by these rules may be taken by telephonic means.</w:t>
      </w:r>
    </w:p>
    <w:p>
      <w:pPr>
        <w:spacing w:before="0" w:after="0"/>
        <w:ind w:left="120"/>
        <w:jc w:val="both"/>
      </w:pPr>
      <w:r>
        <w:rPr>
          <w:rFonts w:ascii="Times New Roman" w:hAnsi="Times New Roman"/>
          <w:b w:val="false"/>
          <w:i w:val="false"/>
          <w:color w:val="000000"/>
          <w:sz w:val="22"/>
        </w:rPr>
        <w:t xml:space="preserve">When the commission intends to take the deposition of any person upon oral examination by telephonic means, the commission shall give reasonable notice thereof in writing to any party who is to be deposed and to any other deponent. Such notice shall contain all other information required by </w:t>
      </w:r>
      <w:hyperlink r:id="rId92">
        <w:r>
          <w:rPr>
            <w:rStyle w:val="Hyperlink"/>
            <w:rFonts w:ascii="Times New Roman" w:hAnsi="Times New Roman"/>
            <w:b w:val="false"/>
            <w:i w:val="false"/>
            <w:color w:val="000000"/>
            <w:sz w:val="22"/>
          </w:rPr>
          <w:t>subrule 9.18(1)</w:t>
        </w:r>
      </w:hyperlink>
      <w:r>
        <w:rPr>
          <w:rFonts w:ascii="Times New Roman" w:hAnsi="Times New Roman"/>
          <w:b w:val="false"/>
          <w:i w:val="false"/>
          <w:color w:val="000000"/>
          <w:sz w:val="22"/>
        </w:rPr>
        <w:t xml:space="preserve"> and shall state that the telephone conference will be arranged and paid for by the commission. No part of the expense for telephone service shall be taxed as costs.</w:t>
      </w:r>
    </w:p>
    <w:p>
      <w:pPr>
        <w:spacing w:before="0" w:after="0"/>
        <w:ind w:left="120"/>
        <w:jc w:val="both"/>
      </w:pPr>
      <w:r>
        <w:rPr>
          <w:rFonts w:ascii="Times New Roman" w:hAnsi="Times New Roman"/>
          <w:b w:val="false"/>
          <w:i w:val="false"/>
          <w:color w:val="000000"/>
          <w:sz w:val="22"/>
        </w:rPr>
        <w:t>If the commission desires to present exhibits to the witness during the deposition, copies shall be sent to the deponent and any party who is to be deposed, prior to the taking of the deposition.</w:t>
      </w:r>
    </w:p>
    <w:p>
      <w:pPr>
        <w:spacing w:before="0" w:after="0"/>
        <w:ind w:left="120"/>
        <w:jc w:val="both"/>
      </w:pPr>
      <w:r>
        <w:rPr>
          <w:rFonts w:ascii="Times New Roman" w:hAnsi="Times New Roman"/>
          <w:b w:val="false"/>
          <w:i w:val="false"/>
          <w:color w:val="000000"/>
          <w:sz w:val="22"/>
        </w:rPr>
        <w:t>Nothing in this rule shall prohibit a party from whom the discovery is sought or counsel for that party or for the deponent from being in the presence of the deponent when the deposition is taken.</w:t>
      </w:r>
    </w:p>
    <w:p>
      <w:pPr>
        <w:spacing w:before="0" w:after="0"/>
        <w:ind w:left="120"/>
        <w:jc w:val="both"/>
      </w:pPr>
      <w:r>
        <w:rPr>
          <w:rFonts w:ascii="Times New Roman" w:hAnsi="Times New Roman"/>
          <w:b/>
          <w:i w:val="false"/>
          <w:color w:val="000000"/>
          <w:sz w:val="22"/>
        </w:rPr>
        <w:t>161—9.18</w:t>
      </w:r>
      <w:r>
        <w:rPr>
          <w:rFonts w:ascii="Times New Roman" w:hAnsi="Times New Roman"/>
          <w:b/>
          <w:i w:val="false"/>
          <w:color w:val="000000"/>
          <w:sz w:val="22"/>
        </w:rPr>
        <w:t xml:space="preserve">(216) </w:t>
      </w:r>
      <w:r>
        <w:rPr>
          <w:rFonts w:ascii="Times New Roman" w:hAnsi="Times New Roman"/>
          <w:b/>
          <w:i w:val="false"/>
          <w:color w:val="000000"/>
          <w:sz w:val="22"/>
        </w:rPr>
        <w:t xml:space="preserve">Notice for oral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9.18(1)</w:t>
      </w:r>
      <w:r>
        <w:rPr>
          <w:rFonts w:ascii="Times New Roman" w:hAnsi="Times New Roman"/>
          <w:b w:val="false"/>
          <w:i w:val="false"/>
          <w:color w:val="000000"/>
          <w:sz w:val="22"/>
        </w:rPr>
        <w:t> </w:t>
      </w:r>
      <w:r>
        <w:rPr>
          <w:rFonts w:ascii="Times New Roman" w:hAnsi="Times New Roman"/>
          <w:b w:val="false"/>
          <w:i w:val="false"/>
          <w:color w:val="000000"/>
          <w:sz w:val="22"/>
        </w:rPr>
        <w:t>Whenever the commission desires to take the deposition of any person upon oral examination, the commission shall give reasonable notice in writing to the deponent and any party who is to be deposed. The notice shall state the time and place for taking the deposition and the name and address of each person to be examined, if known, and, if the name is not known, a general description sufficient to identify the person or the particular class or group to which the person belongs.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9.18(2)</w:t>
      </w:r>
      <w:r>
        <w:rPr>
          <w:rFonts w:ascii="Times New Roman" w:hAnsi="Times New Roman"/>
          <w:b w:val="false"/>
          <w:i w:val="false"/>
          <w:color w:val="000000"/>
          <w:sz w:val="22"/>
        </w:rPr>
        <w:t> </w:t>
      </w:r>
      <w:r>
        <w:rPr>
          <w:rFonts w:ascii="Times New Roman" w:hAnsi="Times New Roman"/>
          <w:b w:val="false"/>
          <w:i w:val="false"/>
          <w:color w:val="000000"/>
          <w:sz w:val="22"/>
        </w:rPr>
        <w:t>If a subpoena duces tecum is to be served on the person to be examined, the designation of the materials to be produced as set forth in the subpoena shall be attached to or included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to a party deponent may be accompanied by a request made in compliance with rules </w:t>
      </w:r>
      <w:hyperlink r:id="rId93">
        <w:r>
          <w:rPr>
            <w:rStyle w:val="Hyperlink"/>
            <w:rFonts w:ascii="Times New Roman" w:hAnsi="Times New Roman"/>
            <w:b w:val="false"/>
            <w:i w:val="false"/>
            <w:color w:val="000000"/>
            <w:sz w:val="22"/>
          </w:rPr>
          <w:t>161—9.12(216)</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161—9.13(216)</w:t>
        </w:r>
      </w:hyperlink>
      <w:r>
        <w:rPr>
          <w:rFonts w:ascii="Times New Roman" w:hAnsi="Times New Roman"/>
          <w:b w:val="false"/>
          <w:i w:val="false"/>
          <w:color w:val="000000"/>
          <w:sz w:val="22"/>
        </w:rPr>
        <w:t xml:space="preserve"> for the production of documents and tangible things at the taking of deposition. The procedure of rule </w:t>
      </w:r>
      <w:hyperlink r:id="rId95">
        <w:r>
          <w:rPr>
            <w:rStyle w:val="Hyperlink"/>
            <w:rFonts w:ascii="Times New Roman" w:hAnsi="Times New Roman"/>
            <w:b w:val="false"/>
            <w:i w:val="false"/>
            <w:color w:val="000000"/>
            <w:sz w:val="22"/>
          </w:rPr>
          <w:t>161—9.13(216)</w:t>
        </w:r>
      </w:hyperlink>
      <w:r>
        <w:rPr>
          <w:rFonts w:ascii="Times New Roman" w:hAnsi="Times New Roman"/>
          <w:b w:val="false"/>
          <w:i w:val="false"/>
          <w:color w:val="000000"/>
          <w:sz w:val="22"/>
        </w:rPr>
        <w:t xml:space="preserve"> shall apply to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9.18(4)</w:t>
      </w:r>
      <w:r>
        <w:rPr>
          <w:rFonts w:ascii="Times New Roman" w:hAnsi="Times New Roman"/>
          <w:b w:val="false"/>
          <w:i w:val="false"/>
          <w:color w:val="000000"/>
          <w:sz w:val="22"/>
        </w:rPr>
        <w:t> </w:t>
      </w:r>
      <w:r>
        <w:rPr>
          <w:rFonts w:ascii="Times New Roman" w:hAnsi="Times New Roman"/>
          <w:b w:val="false"/>
          <w:i w:val="false"/>
          <w:color w:val="000000"/>
          <w:sz w:val="22"/>
        </w:rPr>
        <w:t xml:space="preserve">No subpoena is necessary to require the appearance of a party for a deposition. Service on the party or the party’s attorney of record of notice of the taking of a deposition of the party or of an officer, partner or managing agent of any party who is not a natural person, as provided in </w:t>
      </w:r>
      <w:hyperlink r:id="rId96">
        <w:r>
          <w:rPr>
            <w:rStyle w:val="Hyperlink"/>
            <w:rFonts w:ascii="Times New Roman" w:hAnsi="Times New Roman"/>
            <w:b w:val="false"/>
            <w:i w:val="false"/>
            <w:color w:val="000000"/>
            <w:sz w:val="22"/>
          </w:rPr>
          <w:t>9.18(1)</w:t>
        </w:r>
      </w:hyperlink>
      <w:r>
        <w:rPr>
          <w:rFonts w:ascii="Times New Roman" w:hAnsi="Times New Roman"/>
          <w:b w:val="false"/>
          <w:i w:val="false"/>
          <w:color w:val="000000"/>
          <w:sz w:val="22"/>
        </w:rPr>
        <w:t>, is sufficient to require the appearance of a deponent for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9.18(5)</w:t>
      </w:r>
      <w:r>
        <w:rPr>
          <w:rFonts w:ascii="Times New Roman" w:hAnsi="Times New Roman"/>
          <w:b w:val="false"/>
          <w:i w:val="false"/>
          <w:color w:val="000000"/>
          <w:sz w:val="22"/>
        </w:rPr>
        <w:t> </w:t>
      </w:r>
      <w:r>
        <w:rPr>
          <w:rFonts w:ascii="Times New Roman" w:hAnsi="Times New Roman"/>
          <w:b w:val="false"/>
          <w:i w:val="false"/>
          <w:color w:val="000000"/>
          <w:sz w:val="22"/>
        </w:rPr>
        <w:t>A notice or subpoena may name as the deponent a public or private corporation or a partnership or association or governmental agency and describe with reasonable particularity the matters on which examination is requested. In that event, the organization so named shall designate one or more officers, directors, or managing agents, or other persons who consent to testify on its behalf, and may set forth, for each person designated, the matters on which the witness will testify. A subpoena shall advise a nonparty organization of its duty to make such a designation. The persons so designated shall testify as to matters known or reasonably available to the organization. This subrule does not preclude taking a deposition by any other procedure authorized in these rules.</w:t>
      </w:r>
    </w:p>
    <w:p>
      <w:pPr>
        <w:spacing w:before="0" w:after="0"/>
        <w:ind w:left="120"/>
        <w:jc w:val="both"/>
      </w:pPr>
      <w:r>
        <w:rPr>
          <w:rFonts w:ascii="Times New Roman" w:hAnsi="Times New Roman"/>
          <w:b/>
          <w:i w:val="false"/>
          <w:color w:val="000000"/>
          <w:sz w:val="22"/>
        </w:rPr>
        <w:t>161—9.19</w:t>
      </w:r>
      <w:r>
        <w:rPr>
          <w:rFonts w:ascii="Times New Roman" w:hAnsi="Times New Roman"/>
          <w:b/>
          <w:i w:val="false"/>
          <w:color w:val="000000"/>
          <w:sz w:val="22"/>
        </w:rPr>
        <w:t xml:space="preserve">(216) </w:t>
      </w:r>
      <w:r>
        <w:rPr>
          <w:rFonts w:ascii="Times New Roman" w:hAnsi="Times New Roman"/>
          <w:b/>
          <w:i w:val="false"/>
          <w:color w:val="000000"/>
          <w:sz w:val="22"/>
        </w:rPr>
        <w:t xml:space="preserve">Conduct of oral deposition.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9.19(1)</w:t>
      </w:r>
      <w:r>
        <w:rPr>
          <w:rFonts w:ascii="Times New Roman" w:hAnsi="Times New Roman"/>
          <w:b w:val="false"/>
          <w:i w:val="false"/>
          <w:color w:val="000000"/>
          <w:sz w:val="22"/>
        </w:rPr>
        <w:t> </w:t>
      </w:r>
      <w:r>
        <w:rPr>
          <w:rFonts w:ascii="Times New Roman" w:hAnsi="Times New Roman"/>
          <w:b w:val="false"/>
          <w:i/>
          <w:color w:val="000000"/>
          <w:sz w:val="22"/>
        </w:rPr>
        <w:t xml:space="preserve">Examination; recording examination; administering the oath; objections. </w:t>
      </w:r>
      <w:r>
        <w:rPr>
          <w:rFonts w:ascii="Times New Roman" w:hAnsi="Times New Roman"/>
          <w:b w:val="false"/>
          <w:i w:val="false"/>
          <w:color w:val="000000"/>
          <w:sz w:val="22"/>
        </w:rPr>
        <w:t xml:space="preserve">Examination of witnesses by the commission may proceed as permitted at the hearing. The commission investigator or other officer before whom the deposition is to be taken shall put the witness under oath and shall personally, or by someone acting under the investigator or officer’s direction and in the investigator or officer’s presence, record the testimony of the witness. The testimony shall be taken stenographically or recorded by any other means ordered in accordance with subrule </w:t>
      </w:r>
      <w:hyperlink r:id="rId97">
        <w:r>
          <w:rPr>
            <w:rStyle w:val="Hyperlink"/>
            <w:rFonts w:ascii="Times New Roman" w:hAnsi="Times New Roman"/>
            <w:b w:val="false"/>
            <w:i w:val="false"/>
            <w:color w:val="000000"/>
            <w:sz w:val="22"/>
          </w:rPr>
          <w:t>9.17(2)</w:t>
        </w:r>
      </w:hyperlink>
      <w:r>
        <w:rPr>
          <w:rFonts w:ascii="Times New Roman" w:hAnsi="Times New Roman"/>
          <w:b w:val="false"/>
          <w:i w:val="false"/>
          <w:color w:val="000000"/>
          <w:sz w:val="22"/>
        </w:rPr>
        <w:t>. All objections made at the time of the examination to the qualifications of the investigator or other officer taking the deposition, or to the manner of taking it, or to the evidence presented, or to the conduct of any party, and any other objection to the proceedings, shall be noted by the investigator or officer upon the deposition. Evidence objected to shall be taken subject to the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9.19(2)</w:t>
      </w:r>
      <w:r>
        <w:rPr>
          <w:rFonts w:ascii="Times New Roman" w:hAnsi="Times New Roman"/>
          <w:b w:val="false"/>
          <w:i w:val="false"/>
          <w:color w:val="000000"/>
          <w:sz w:val="22"/>
        </w:rPr>
        <w:t> </w:t>
      </w:r>
      <w:r>
        <w:rPr>
          <w:rFonts w:ascii="Times New Roman" w:hAnsi="Times New Roman"/>
          <w:b w:val="false"/>
          <w:i/>
          <w:color w:val="000000"/>
          <w:sz w:val="22"/>
        </w:rPr>
        <w:t xml:space="preserve">Motion to terminate or limit examination. </w:t>
      </w:r>
      <w:r>
        <w:rPr>
          <w:rFonts w:ascii="Times New Roman" w:hAnsi="Times New Roman"/>
          <w:b w:val="false"/>
          <w:i w:val="false"/>
          <w:color w:val="000000"/>
          <w:sz w:val="22"/>
        </w:rPr>
        <w:t xml:space="preserve">At any time during the taking of the deposition, on motion of the party being deposed or other deponent and upon a showing that the examination is being conducted in bad faith or in such manner as unreasonably to annoy, embarrass, or oppress the deponent or party, the presiding officer for discovery may order the commission to cease forthwith from taking the deposition, or may limit the scope and manner of the taking of the deposition as provided in rule </w:t>
      </w:r>
      <w:hyperlink r:id="rId98">
        <w:r>
          <w:rPr>
            <w:rStyle w:val="Hyperlink"/>
            <w:rFonts w:ascii="Times New Roman" w:hAnsi="Times New Roman"/>
            <w:b w:val="false"/>
            <w:i w:val="false"/>
            <w:color w:val="000000"/>
            <w:sz w:val="22"/>
          </w:rPr>
          <w:t>161—9.8(216)</w:t>
        </w:r>
      </w:hyperlink>
      <w:r>
        <w:rPr>
          <w:rFonts w:ascii="Times New Roman" w:hAnsi="Times New Roman"/>
          <w:b w:val="false"/>
          <w:i w:val="false"/>
          <w:color w:val="000000"/>
          <w:sz w:val="22"/>
        </w:rPr>
        <w:t>. If the order made terminates the examination, it shall be resumed thereafter only upon the order of the presiding officer for discovery. Upon demand of the objecting party or deponent, the taking of the deposition shall be suspended for the time necessary to make a motion for an order.</w:t>
      </w:r>
    </w:p>
    <w:p>
      <w:pPr>
        <w:spacing w:before="0" w:after="0"/>
        <w:ind w:left="120"/>
        <w:jc w:val="both"/>
      </w:pPr>
      <w:r>
        <w:rPr>
          <w:rFonts w:ascii="Times New Roman" w:hAnsi="Times New Roman"/>
          <w:b w:val="false"/>
          <w:i w:val="false"/>
          <w:color w:val="000000"/>
          <w:sz w:val="22"/>
        </w:rPr>
        <w:t>If the motion is granted, the presiding officer for discovery shall, after opportunity for hearing, require the commission to pay to the moving party the reasonable expenses incurred in obtaining the order, including attorneys’ fees, unless the presiding officer for discovery finds that the opposition to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denied, the presiding officer for discovery shall, after opportunity for hearing, require the moving party or the attorney advising the motion or both of them to pay to the commission the reasonable expenses incurred in opposing the motion, including attorneys’ fees, unless the presiding officer for discovery finds that the making of the motion was substantially justified or that other circumstances make an award of expenses unjust.</w:t>
      </w:r>
    </w:p>
    <w:p>
      <w:pPr>
        <w:spacing w:before="0" w:after="0"/>
        <w:ind w:left="120"/>
        <w:jc w:val="both"/>
      </w:pPr>
      <w:r>
        <w:rPr>
          <w:rFonts w:ascii="Times New Roman" w:hAnsi="Times New Roman"/>
          <w:b w:val="false"/>
          <w:i w:val="false"/>
          <w:color w:val="000000"/>
          <w:sz w:val="22"/>
        </w:rPr>
        <w:t>If the motion is granted in part and denied in part, the presiding officer for discovery may apportion in a just manner the reasonable expenses incurred in relation to the motion.</w:t>
      </w:r>
    </w:p>
    <w:p>
      <w:pPr>
        <w:spacing w:before="0" w:after="0"/>
        <w:ind w:left="120"/>
        <w:jc w:val="both"/>
      </w:pPr>
      <w:r>
        <w:rPr>
          <w:rFonts w:ascii="Times New Roman" w:hAnsi="Times New Roman"/>
          <w:b/>
          <w:i w:val="false"/>
          <w:color w:val="000000"/>
          <w:sz w:val="22"/>
        </w:rPr>
        <w:t>161—9.20</w:t>
      </w:r>
      <w:r>
        <w:rPr>
          <w:rFonts w:ascii="Times New Roman" w:hAnsi="Times New Roman"/>
          <w:b/>
          <w:i w:val="false"/>
          <w:color w:val="000000"/>
          <w:sz w:val="22"/>
        </w:rPr>
        <w:t xml:space="preserve">(216) </w:t>
      </w:r>
      <w:r>
        <w:rPr>
          <w:rFonts w:ascii="Times New Roman" w:hAnsi="Times New Roman"/>
          <w:b/>
          <w:i w:val="false"/>
          <w:color w:val="000000"/>
          <w:sz w:val="22"/>
        </w:rPr>
        <w:t xml:space="preserve">Reading and signing depositions.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9.20(1)</w:t>
      </w:r>
      <w:r>
        <w:rPr>
          <w:rFonts w:ascii="Times New Roman" w:hAnsi="Times New Roman"/>
          <w:b w:val="false"/>
          <w:i w:val="false"/>
          <w:color w:val="000000"/>
          <w:sz w:val="22"/>
        </w:rPr>
        <w:t> </w:t>
      </w:r>
      <w:r>
        <w:rPr>
          <w:rFonts w:ascii="Times New Roman" w:hAnsi="Times New Roman"/>
          <w:b w:val="false"/>
          <w:i/>
          <w:color w:val="000000"/>
          <w:sz w:val="22"/>
        </w:rPr>
        <w:t xml:space="preserve">Where reading or signing not required. </w:t>
      </w:r>
      <w:r>
        <w:rPr>
          <w:rFonts w:ascii="Times New Roman" w:hAnsi="Times New Roman"/>
          <w:b w:val="false"/>
          <w:i w:val="false"/>
          <w:color w:val="000000"/>
          <w:sz w:val="22"/>
        </w:rPr>
        <w:t>No oral deposition reported and transcribed by an official court reporter or certified shorthand reporter of Iowa need be submitted to, read or signed by the deponent.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9.20(2)</w:t>
      </w:r>
      <w:r>
        <w:rPr>
          <w:rFonts w:ascii="Times New Roman" w:hAnsi="Times New Roman"/>
          <w:b w:val="false"/>
          <w:i w:val="false"/>
          <w:color w:val="000000"/>
          <w:sz w:val="22"/>
        </w:rPr>
        <w:t> </w:t>
      </w:r>
      <w:r>
        <w:rPr>
          <w:rFonts w:ascii="Times New Roman" w:hAnsi="Times New Roman"/>
          <w:b w:val="false"/>
          <w:i/>
          <w:color w:val="000000"/>
          <w:sz w:val="22"/>
        </w:rPr>
        <w:t xml:space="preserve">Submission to witness; changes; signing. </w:t>
      </w:r>
      <w:r>
        <w:rPr>
          <w:rFonts w:ascii="Times New Roman" w:hAnsi="Times New Roman"/>
          <w:b w:val="false"/>
          <w:i w:val="false"/>
          <w:color w:val="000000"/>
          <w:sz w:val="22"/>
        </w:rPr>
        <w:t>In other cases, if and when the testimony is fully transcribed, the deposition shall be submitted to the witness for examination and shall be read to or by the witness, unless such examination and reading are waived by the witness. Any changes in form or substance which the witness desires to make shall be entered upon the deposition by the officer with a statement of the reasons given by the witness for making them. The deposition shall then be signed by the witness, unless the witness is ill or dead or cannot be found or refuses to sign. If the deposition is not signed by the witness within 30 days of its submission, the investigator or officer shall sign it and state on the record the fact of the waiver or of the illness, death, or absence of the witness or the fact of the refusal to sign together with the reason, if any, given therefor. The deposition may then be used as fully as though signed unless on a motion to suppress the tribunal hearing the motion holds that the reason given for the refusal to sign requires rejection of the deposition in whole or in part.</w:t>
      </w:r>
    </w:p>
    <w:p>
      <w:pPr>
        <w:spacing w:before="0" w:after="0"/>
        <w:ind w:left="120"/>
        <w:jc w:val="both"/>
      </w:pPr>
      <w:r>
        <w:rPr>
          <w:rFonts w:ascii="Times New Roman" w:hAnsi="Times New Roman"/>
          <w:b/>
          <w:i w:val="false"/>
          <w:color w:val="000000"/>
          <w:sz w:val="22"/>
        </w:rPr>
        <w:t>161—9.21</w:t>
      </w:r>
      <w:r>
        <w:rPr>
          <w:rFonts w:ascii="Times New Roman" w:hAnsi="Times New Roman"/>
          <w:b/>
          <w:i w:val="false"/>
          <w:color w:val="000000"/>
          <w:sz w:val="22"/>
        </w:rPr>
        <w:t xml:space="preserve">(216) </w:t>
      </w:r>
      <w:r>
        <w:rPr>
          <w:rFonts w:ascii="Times New Roman" w:hAnsi="Times New Roman"/>
          <w:b/>
          <w:i w:val="false"/>
          <w:color w:val="000000"/>
          <w:sz w:val="22"/>
        </w:rPr>
        <w:t xml:space="preserve">Certification and return; copies.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w:t>
      </w:r>
      <w:r>
        <w:rPr>
          <w:rFonts w:ascii="Times New Roman" w:hAnsi="Times New Roman"/>
          <w:b w:val="false"/>
          <w:i w:val="false"/>
          <w:color w:val="000000"/>
          <w:sz w:val="22"/>
        </w:rPr>
        <w:t> </w:t>
      </w:r>
      <w:r>
        <w:rPr>
          <w:rFonts w:ascii="Times New Roman" w:hAnsi="Times New Roman"/>
          <w:b w:val="false"/>
          <w:i w:val="false"/>
          <w:color w:val="000000"/>
          <w:sz w:val="22"/>
        </w:rPr>
        <w:t>When the deposition is transcribed, the investigator or other officer shall certify on the deposition that the witness was duly sworn and that the deposition is a true record of the testimony given by the witness. Documents and things produced for inspection during the deposition shall, upon the request of the investigator, be marked for identification and annexed to the deposition,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producing the materials may substitute copies to be marked for identification, if the investigator is provided fair opportunity to verify the copies by comparison with the originals;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producing the materials requests their return, the investigator shall mark, copy, and, at some time prior to the completion of the investigation, return them to the person producing them. The materials may then be used in the same manner as if annexed to the deposition.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9.21(2)</w:t>
      </w:r>
      <w:r>
        <w:rPr>
          <w:rFonts w:ascii="Times New Roman" w:hAnsi="Times New Roman"/>
          <w:b w:val="false"/>
          <w:i w:val="false"/>
          <w:color w:val="000000"/>
          <w:sz w:val="22"/>
        </w:rPr>
        <w:t> </w:t>
      </w:r>
      <w:r>
        <w:rPr>
          <w:rFonts w:ascii="Times New Roman" w:hAnsi="Times New Roman"/>
          <w:b w:val="false"/>
          <w:i w:val="false"/>
          <w:color w:val="000000"/>
          <w:sz w:val="22"/>
        </w:rPr>
        <w:t>Upon payment of reasonable charges therefor, the commission shall furnish a copy of the deposition to the party who was deposed or to the deponent.</w:t>
      </w:r>
    </w:p>
    <w:p>
      <w:pPr>
        <w:spacing w:before="210" w:after="0"/>
        <w:ind w:left="120"/>
        <w:jc w:val="both"/>
      </w:pPr>
      <w:r>
        <w:rPr>
          <w:rFonts w:ascii="Times New Roman" w:hAnsi="Times New Roman"/>
          <w:b/>
          <w:i w:val="false"/>
          <w:color w:val="000000"/>
          <w:sz w:val="22"/>
        </w:rPr>
        <w:t>161—9.22</w:t>
      </w:r>
      <w:r>
        <w:rPr>
          <w:rFonts w:ascii="Times New Roman" w:hAnsi="Times New Roman"/>
          <w:b/>
          <w:i w:val="false"/>
          <w:color w:val="000000"/>
          <w:sz w:val="22"/>
        </w:rPr>
        <w:t xml:space="preserve">(216) </w:t>
      </w:r>
      <w:r>
        <w:rPr>
          <w:rFonts w:ascii="Times New Roman" w:hAnsi="Times New Roman"/>
          <w:b/>
          <w:i w:val="false"/>
          <w:color w:val="000000"/>
          <w:sz w:val="22"/>
        </w:rPr>
        <w:t xml:space="preserve">Before whom taken. </w:t>
      </w:r>
      <w:r>
        <w:rPr>
          <w:rFonts w:ascii="Times New Roman" w:hAnsi="Times New Roman"/>
          <w:b w:val="false"/>
          <w:i w:val="false"/>
          <w:color w:val="000000"/>
          <w:sz w:val="22"/>
        </w:rPr>
        <w:t>The officer taking the deposition shall not be a party, a person financially interested in the action, an attorney or employee of any party, an employee of any such attorney, or any person related within the fourth degree of consanguinity or affinity to a party, a party’s attorney, or an employee of either of any party.</w:t>
      </w:r>
    </w:p>
    <w:p>
      <w:pPr>
        <w:spacing w:before="0" w:after="0"/>
        <w:ind w:left="120"/>
        <w:jc w:val="both"/>
      </w:pPr>
      <w:r>
        <w:rPr>
          <w:rFonts w:ascii="Times New Roman" w:hAnsi="Times New Roman"/>
          <w:b/>
          <w:i w:val="false"/>
          <w:color w:val="000000"/>
          <w:sz w:val="22"/>
        </w:rPr>
        <w:t>161—9.23</w:t>
      </w:r>
      <w:r>
        <w:rPr>
          <w:rFonts w:ascii="Times New Roman" w:hAnsi="Times New Roman"/>
          <w:b/>
          <w:i w:val="false"/>
          <w:color w:val="000000"/>
          <w:sz w:val="22"/>
        </w:rPr>
        <w:t xml:space="preserve">(216) </w:t>
      </w:r>
      <w:r>
        <w:rPr>
          <w:rFonts w:ascii="Times New Roman" w:hAnsi="Times New Roman"/>
          <w:b/>
          <w:i w:val="false"/>
          <w:color w:val="000000"/>
          <w:sz w:val="22"/>
        </w:rPr>
        <w:t xml:space="preserve">Deposition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issue subpoenas for persons named in and described in a notice to take depositions under rule </w:t>
      </w:r>
      <w:hyperlink r:id="rId99">
        <w:r>
          <w:rPr>
            <w:rStyle w:val="Hyperlink"/>
            <w:rFonts w:ascii="Times New Roman" w:hAnsi="Times New Roman"/>
            <w:b w:val="false"/>
            <w:i w:val="false"/>
            <w:color w:val="000000"/>
            <w:sz w:val="22"/>
          </w:rPr>
          <w:t>161—9.18(216)</w:t>
        </w:r>
      </w:hyperlink>
      <w:r>
        <w:rPr>
          <w:rFonts w:ascii="Times New Roman" w:hAnsi="Times New Roman"/>
          <w:b w:val="false"/>
          <w:i w:val="false"/>
          <w:color w:val="000000"/>
          <w:sz w:val="22"/>
        </w:rPr>
        <w:t xml:space="preserve">. Subpoenas may also be issued as provided by statute or by rule </w:t>
      </w:r>
      <w:hyperlink r:id="rId100">
        <w:r>
          <w:rPr>
            <w:rStyle w:val="Hyperlink"/>
            <w:rFonts w:ascii="Times New Roman" w:hAnsi="Times New Roman"/>
            <w:b w:val="false"/>
            <w:i w:val="false"/>
            <w:color w:val="000000"/>
            <w:sz w:val="22"/>
          </w:rPr>
          <w:t>161—3.14(216)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9.23(2)</w:t>
      </w:r>
      <w:r>
        <w:rPr>
          <w:rFonts w:ascii="Times New Roman" w:hAnsi="Times New Roman"/>
          <w:b w:val="false"/>
          <w:i w:val="false"/>
          <w:color w:val="000000"/>
          <w:sz w:val="22"/>
        </w:rPr>
        <w:t> </w:t>
      </w:r>
      <w:r>
        <w:rPr>
          <w:rFonts w:ascii="Times New Roman" w:hAnsi="Times New Roman"/>
          <w:b w:val="false"/>
          <w:i w:val="false"/>
          <w:color w:val="000000"/>
          <w:sz w:val="22"/>
        </w:rPr>
        <w:t>No resident of Iowa shall be subpoenaed to attend a deposition out of the county where the deponent resides, or is employed, or transacts business in person.</w:t>
      </w:r>
    </w:p>
    <w:p>
      <w:pPr>
        <w:spacing w:before="210" w:after="0"/>
        <w:ind w:left="120"/>
        <w:jc w:val="both"/>
      </w:pPr>
      <w:r>
        <w:rPr>
          <w:rFonts w:ascii="Times New Roman" w:hAnsi="Times New Roman"/>
          <w:b/>
          <w:i w:val="false"/>
          <w:color w:val="000000"/>
          <w:sz w:val="22"/>
        </w:rPr>
        <w:t>161—9.24</w:t>
      </w:r>
      <w:r>
        <w:rPr>
          <w:rFonts w:ascii="Times New Roman" w:hAnsi="Times New Roman"/>
          <w:b/>
          <w:i w:val="false"/>
          <w:color w:val="000000"/>
          <w:sz w:val="22"/>
        </w:rPr>
        <w:t xml:space="preserve">(216) </w:t>
      </w:r>
      <w:r>
        <w:rPr>
          <w:rFonts w:ascii="Times New Roman" w:hAnsi="Times New Roman"/>
          <w:b/>
          <w:i w:val="false"/>
          <w:color w:val="000000"/>
          <w:sz w:val="22"/>
        </w:rPr>
        <w:t xml:space="preserve">Costs of taking deposition. </w:t>
      </w:r>
      <w:r>
        <w:rPr>
          <w:rFonts w:ascii="Times New Roman" w:hAnsi="Times New Roman"/>
          <w:b w:val="false"/>
          <w:i w:val="false"/>
          <w:color w:val="000000"/>
          <w:sz w:val="22"/>
        </w:rPr>
        <w:t>Costs of taking and proceeding to procure a deposition shall be paid by the commission.</w:t>
      </w:r>
    </w:p>
    <w:p>
      <w:pPr>
        <w:spacing w:before="0" w:after="0"/>
        <w:ind w:left="120"/>
        <w:jc w:val="both"/>
      </w:pPr>
      <w:r>
        <w:rPr>
          <w:rFonts w:ascii="Times New Roman" w:hAnsi="Times New Roman"/>
          <w:b/>
          <w:i w:val="false"/>
          <w:color w:val="000000"/>
          <w:sz w:val="22"/>
        </w:rPr>
        <w:t>161—9.25</w:t>
      </w:r>
      <w:r>
        <w:rPr>
          <w:rFonts w:ascii="Times New Roman" w:hAnsi="Times New Roman"/>
          <w:b/>
          <w:i w:val="false"/>
          <w:color w:val="000000"/>
          <w:sz w:val="22"/>
        </w:rPr>
        <w:t xml:space="preserve">(216) </w:t>
      </w:r>
      <w:r>
        <w:rPr>
          <w:rFonts w:ascii="Times New Roman" w:hAnsi="Times New Roman"/>
          <w:b/>
          <w:i w:val="false"/>
          <w:color w:val="000000"/>
          <w:sz w:val="22"/>
        </w:rPr>
        <w:t xml:space="preserve">Irregularities and objections.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All objections to any notice of taking any depositions are waived unless promptly served in writing upon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color w:val="000000"/>
          <w:sz w:val="22"/>
        </w:rPr>
        <w:t xml:space="preserve">Officer. </w:t>
      </w:r>
      <w:r>
        <w:rPr>
          <w:rFonts w:ascii="Times New Roman" w:hAnsi="Times New Roman"/>
          <w:b w:val="false"/>
          <w:i w:val="false"/>
          <w:color w:val="000000"/>
          <w:sz w:val="22"/>
        </w:rPr>
        <w:t>Objection to the commission investigator or other officer’s qualification to take a deposition is waived unless made before such taking begins, or as soon thereafter as objector knows it or could discover it with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9.25(3)</w:t>
      </w:r>
      <w:r>
        <w:rPr>
          <w:rFonts w:ascii="Times New Roman" w:hAnsi="Times New Roman"/>
          <w:b w:val="false"/>
          <w:i w:val="false"/>
          <w:color w:val="000000"/>
          <w:sz w:val="22"/>
        </w:rPr>
        <w:t> </w:t>
      </w:r>
      <w:r>
        <w:rPr>
          <w:rFonts w:ascii="Times New Roman" w:hAnsi="Times New Roman"/>
          <w:b w:val="false"/>
          <w:i/>
          <w:color w:val="000000"/>
          <w:sz w:val="22"/>
        </w:rPr>
        <w:t xml:space="preserve">Taking depositions. </w:t>
      </w:r>
      <w:r>
        <w:rPr>
          <w:rFonts w:ascii="Times New Roman" w:hAnsi="Times New Roman"/>
          <w:b w:val="false"/>
          <w:i w:val="false"/>
          <w:color w:val="000000"/>
          <w:sz w:val="22"/>
        </w:rPr>
        <w:t>Errors or irregularities occurring during an oral deposition as to any conduct or manner of taking it, or the oath, or the form of any question or answer, and any other errors which might thereupon have been cured, obviated or removed, are waived unless seasonably objected to during the deposition.</w:t>
      </w:r>
    </w:p>
    <w:p>
      <w:pPr>
        <w:spacing w:before="210" w:after="0"/>
        <w:ind w:left="120"/>
        <w:jc w:val="both"/>
      </w:pPr>
      <w:r>
        <w:rPr>
          <w:rFonts w:ascii="Times New Roman" w:hAnsi="Times New Roman"/>
          <w:b/>
          <w:i w:val="false"/>
          <w:color w:val="000000"/>
          <w:sz w:val="22"/>
        </w:rPr>
        <w:t>161—9.26</w:t>
      </w:r>
      <w:r>
        <w:rPr>
          <w:rFonts w:ascii="Times New Roman" w:hAnsi="Times New Roman"/>
          <w:b/>
          <w:i w:val="false"/>
          <w:color w:val="000000"/>
          <w:sz w:val="22"/>
        </w:rPr>
        <w:t xml:space="preserve">(216) </w:t>
      </w:r>
      <w:r>
        <w:rPr>
          <w:rFonts w:ascii="Times New Roman" w:hAnsi="Times New Roman"/>
          <w:b/>
          <w:i w:val="false"/>
          <w:color w:val="000000"/>
          <w:sz w:val="22"/>
        </w:rPr>
        <w:t xml:space="preserve">Service of discovery. </w:t>
      </w:r>
      <w:r>
        <w:rPr>
          <w:rFonts w:ascii="Times New Roman" w:hAnsi="Times New Roman"/>
          <w:b w:val="false"/>
          <w:i w:val="false"/>
          <w:color w:val="000000"/>
          <w:sz w:val="22"/>
        </w:rPr>
        <w:t xml:space="preserve">Service of documents pertaining to discovery procedures described in this chapter, other than subpoenas, may be accomplished by the same means as in rule </w:t>
      </w:r>
      <w:hyperlink r:id="rId101">
        <w:r>
          <w:rPr>
            <w:rStyle w:val="Hyperlink"/>
            <w:rFonts w:ascii="Times New Roman" w:hAnsi="Times New Roman"/>
            <w:b w:val="false"/>
            <w:i w:val="false"/>
            <w:color w:val="000000"/>
            <w:sz w:val="22"/>
          </w:rPr>
          <w:t>161—4.6(17A)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161—9.27</w:t>
      </w:r>
      <w:r>
        <w:rPr>
          <w:rFonts w:ascii="Times New Roman" w:hAnsi="Times New Roman"/>
          <w:b/>
          <w:i w:val="false"/>
          <w:color w:val="000000"/>
          <w:sz w:val="22"/>
        </w:rPr>
        <w:t xml:space="preserve">(216)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Appeals from an imposition of sanctions by the presiding officer for discovery under rule </w:t>
      </w:r>
      <w:hyperlink r:id="rId102">
        <w:r>
          <w:rPr>
            <w:rStyle w:val="Hyperlink"/>
            <w:rFonts w:ascii="Times New Roman" w:hAnsi="Times New Roman"/>
            <w:b w:val="false"/>
            <w:i w:val="false"/>
            <w:color w:val="000000"/>
            <w:sz w:val="22"/>
          </w:rPr>
          <w:t>161—9.16(216)</w:t>
        </w:r>
      </w:hyperlink>
      <w:r>
        <w:rPr>
          <w:rFonts w:ascii="Times New Roman" w:hAnsi="Times New Roman"/>
          <w:b w:val="false"/>
          <w:i w:val="false"/>
          <w:color w:val="000000"/>
          <w:sz w:val="22"/>
        </w:rPr>
        <w:t xml:space="preserve"> are filed and processed in the same manner as appeals under rule </w:t>
      </w:r>
      <w:hyperlink r:id="rId103">
        <w:r>
          <w:rPr>
            <w:rStyle w:val="Hyperlink"/>
            <w:rFonts w:ascii="Times New Roman" w:hAnsi="Times New Roman"/>
            <w:b w:val="false"/>
            <w:i w:val="false"/>
            <w:color w:val="000000"/>
            <w:sz w:val="22"/>
          </w:rPr>
          <w:t>161—4.23(17A)</w:t>
        </w:r>
      </w:hyperlink>
      <w:r>
        <w:rPr>
          <w:rFonts w:ascii="Times New Roman" w:hAnsi="Times New Roman"/>
          <w:b w:val="false"/>
          <w:i w:val="false"/>
          <w:color w:val="000000"/>
          <w:sz w:val="22"/>
        </w:rPr>
        <w:t xml:space="preserve">. Appeals from other decisions rendered by the presiding officer for discovery are filed and processed in the same manner as appeals under rule </w:t>
      </w:r>
      <w:hyperlink r:id="rId104">
        <w:r>
          <w:rPr>
            <w:rStyle w:val="Hyperlink"/>
            <w:rFonts w:ascii="Times New Roman" w:hAnsi="Times New Roman"/>
            <w:b w:val="false"/>
            <w:i w:val="false"/>
            <w:color w:val="000000"/>
            <w:sz w:val="22"/>
          </w:rPr>
          <w:t>161—4.25(17A)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161—9.28</w:t>
      </w:r>
      <w:r>
        <w:rPr>
          <w:rFonts w:ascii="Times New Roman" w:hAnsi="Times New Roman"/>
          <w:b/>
          <w:i w:val="false"/>
          <w:color w:val="000000"/>
          <w:sz w:val="22"/>
        </w:rPr>
        <w:t xml:space="preserve">(216) </w:t>
      </w:r>
      <w:r>
        <w:rPr>
          <w:rFonts w:ascii="Times New Roman" w:hAnsi="Times New Roman"/>
          <w:b/>
          <w:i w:val="false"/>
          <w:color w:val="000000"/>
          <w:sz w:val="22"/>
        </w:rPr>
        <w:t xml:space="preserve">Representation of commission. </w:t>
      </w:r>
      <w:r>
        <w:rPr>
          <w:rFonts w:ascii="Times New Roman" w:hAnsi="Times New Roman"/>
          <w:b w:val="false"/>
          <w:i w:val="false"/>
          <w:color w:val="000000"/>
          <w:sz w:val="22"/>
        </w:rPr>
        <w:t>At all discovery hearings, motions, and appeals, including those proceedings before the presiding officer for discovery, the commission may be represented by a member of the attorney general’s office.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5">
        <w:r>
          <w:rPr>
            <w:rStyle w:val="Hyperlink"/>
            <w:rFonts w:ascii="Times New Roman" w:hAnsi="Times New Roman"/>
            <w:b w:val="false"/>
            <w:i w:val="false"/>
            <w:color w:val="000000"/>
            <w:sz w:val="22"/>
          </w:rPr>
          <w:t>216.5(13)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216.8</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216.8A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i w:val="false"/>
          <w:color w:val="000000"/>
          <w:sz w:val="22"/>
        </w:rPr>
        <w:t>Appendix A</w:t>
      </w:r>
    </w:p>
    <w:p>
      <w:pPr>
        <w:spacing w:before="0" w:after="0"/>
        <w:ind w:left="120"/>
        <w:jc w:val="center"/>
      </w:pPr>
      <w:r>
        <w:rPr>
          <w:rFonts w:ascii="Times New Roman" w:hAnsi="Times New Roman"/>
          <w:b/>
          <w:i w:val="false"/>
          <w:color w:val="000000"/>
          <w:sz w:val="22"/>
        </w:rPr>
        <w:t>Form 1</w:t>
      </w:r>
    </w:p>
    <w:p>
      <w:pPr>
        <w:spacing w:before="0" w:after="0"/>
        <w:ind w:left="120"/>
        <w:jc w:val="center"/>
      </w:pPr>
      <w:r>
        <w:rPr>
          <w:rFonts w:ascii="Times New Roman" w:hAnsi="Times New Roman"/>
          <w:b w:val="false"/>
          <w:i w:val="false"/>
          <w:color w:val="000000"/>
          <w:sz w:val="22"/>
          <w:u w:val="single"/>
        </w:rPr>
        <w:t>Request for Assistance Animal as a Reasonable Accommodation in Housing:</w:t>
      </w:r>
      <w:r>
        <w:br/>
      </w:r>
      <w:r>
        <w:rPr>
          <w:rFonts w:ascii="Times New Roman" w:hAnsi="Times New Roman"/>
          <w:b w:val="false"/>
          <w:i w:val="false"/>
          <w:color w:val="000000"/>
          <w:sz w:val="22"/>
          <w:u w:val="single"/>
        </w:rPr>
        <w:t>Health Care Professional Form</w:t>
      </w:r>
    </w:p>
    <w:p>
      <w:pPr>
        <w:spacing w:before="0" w:after="0"/>
        <w:ind w:left="120"/>
        <w:jc w:val="both"/>
      </w:pPr>
      <w:r>
        <w:rPr>
          <w:rFonts w:ascii="Times New Roman" w:hAnsi="Times New Roman"/>
          <w:b w:val="false"/>
          <w:i w:val="false"/>
          <w:color w:val="000000"/>
          <w:sz w:val="22"/>
        </w:rPr>
        <w:t>Requester’s Name: __________________________________________________________________</w:t>
      </w:r>
    </w:p>
    <w:p>
      <w:pPr>
        <w:spacing w:before="0" w:after="0"/>
        <w:ind w:left="120"/>
        <w:jc w:val="both"/>
      </w:pPr>
      <w:r>
        <w:rPr>
          <w:rFonts w:ascii="Times New Roman" w:hAnsi="Times New Roman"/>
          <w:b w:val="false"/>
          <w:i w:val="false"/>
          <w:color w:val="000000"/>
          <w:sz w:val="22"/>
        </w:rPr>
        <w:t>Address: __________________________________________________________________________</w:t>
      </w:r>
    </w:p>
    <w:p>
      <w:pPr>
        <w:spacing w:before="0" w:after="0"/>
        <w:ind w:left="120"/>
        <w:jc w:val="both"/>
      </w:pPr>
      <w:r>
        <w:rPr>
          <w:rFonts w:ascii="Times New Roman" w:hAnsi="Times New Roman"/>
          <w:b w:val="false"/>
          <w:i w:val="false"/>
          <w:color w:val="000000"/>
          <w:sz w:val="22"/>
        </w:rPr>
        <w:t>Telephone: ________________________________   E-mail: ________________________________</w:t>
      </w:r>
    </w:p>
    <w:p>
      <w:pPr>
        <w:spacing w:before="0" w:after="0"/>
        <w:ind w:left="120"/>
        <w:jc w:val="both"/>
      </w:pPr>
      <w:r>
        <w:rPr>
          <w:rFonts w:ascii="Times New Roman" w:hAnsi="Times New Roman"/>
          <w:b w:val="false"/>
          <w:i w:val="false"/>
          <w:color w:val="000000"/>
          <w:sz w:val="22"/>
        </w:rPr>
        <w:t>I, ________________________________, intend to request that _______________________________</w:t>
      </w:r>
      <w:r>
        <w:br/>
      </w:r>
      <w:r>
        <w:rPr>
          <w:rFonts w:ascii="Times New Roman" w:hAnsi="Times New Roman"/>
          <w:b w:val="false"/>
          <w:i w:val="false"/>
          <w:color w:val="000000"/>
          <w:sz w:val="22"/>
        </w:rPr>
        <w:t>permit me to keep an assistance animal as a reasonable accommodation in housing for my disability. In connection with that application, I am requesting that you complete this form regarding my disability.</w:t>
      </w:r>
    </w:p>
    <w:tbl>
      <w:tblPr>
        <w:tblW w:w="5000" w:type="pct"/>
        <w:tblCellSpacing w:w="0" w:type="auto"/>
        <w:tblBorders>
          <w:top w:val="none"/>
          <w:left w:val="none"/>
          <w:bottom w:val="none"/>
          <w:right w:val="none"/>
          <w:insideH w:val="none"/>
          <w:insideV w:val="none"/>
        </w:tblBorders>
        <w:tblLayout w:type="fixed"/>
      </w:tblPr>
      <w:tblGrid>
        <w:gridCol w:w="6394"/>
        <w:gridCol w:w="5126"/>
      </w:tblGrid>
      <w:tr>
        <w:trPr>
          <w:trHeight w:val="270" w:hRule="atLeast"/>
        </w:trPr>
        <w:tc>
          <w:tcPr>
            <w:tcW w:w="6394" w:type="dxa"/>
            <w:tcBorders/>
            <w:tcMar>
              <w:top w:w="30" w:type="dxa"/>
              <w:left w:w="30" w:type="dxa"/>
              <w:bottom w:w="15" w:type="dxa"/>
              <w:right w:w="30" w:type="dxa"/>
            </w:tcMar>
            <w:vAlign w:val="bottom"/>
          </w:tcPr>
          <w:p>
            <w:pPr>
              <w:spacing w:before="0" w:after="0"/>
              <w:ind w:left="160"/>
              <w:jc w:val="both"/>
            </w:pPr>
            <w:r>
              <w:rPr>
                <w:rFonts w:ascii="Times New Roman" w:hAnsi="Times New Roman"/>
                <w:b w:val="false"/>
                <w:i w:val="false"/>
                <w:color w:val="000000"/>
                <w:sz w:val="21"/>
              </w:rPr>
              <w:t>_______________________________________________</w:t>
            </w:r>
          </w:p>
        </w:tc>
        <w:tc>
          <w:tcPr>
            <w:tcW w:w="5126" w:type="dxa"/>
            <w:tcBorders/>
            <w:tcMar>
              <w:top w:w="30" w:type="dxa"/>
              <w:left w:w="30" w:type="dxa"/>
              <w:bottom w:w="15" w:type="dxa"/>
              <w:right w:w="30" w:type="dxa"/>
            </w:tcMar>
            <w:vAlign w:val="bottom"/>
          </w:tcPr>
          <w:p>
            <w:pPr>
              <w:spacing w:before="0" w:after="0"/>
              <w:ind w:left="160"/>
              <w:jc w:val="both"/>
            </w:pPr>
            <w:r>
              <w:rPr>
                <w:rFonts w:ascii="Times New Roman" w:hAnsi="Times New Roman"/>
                <w:b w:val="false"/>
                <w:i w:val="false"/>
                <w:color w:val="000000"/>
                <w:sz w:val="21"/>
              </w:rPr>
              <w:t>____________________________</w:t>
            </w:r>
          </w:p>
        </w:tc>
      </w:tr>
      <w:tr>
        <w:trPr>
          <w:trHeight w:val="270" w:hRule="atLeast"/>
        </w:trPr>
        <w:tc>
          <w:tcPr>
            <w:tcW w:w="6394"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Requester’s Signature</w:t>
            </w:r>
          </w:p>
        </w:tc>
        <w:tc>
          <w:tcPr>
            <w:tcW w:w="5126"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Date</w:t>
            </w:r>
          </w:p>
        </w:tc>
      </w:tr>
    </w:tbl>
    <w:tbl>
      <w:tblPr>
        <w:tblW w:w="5000" w:type="pct"/>
        <w:tblCellSpacing w:w="0" w:type="auto"/>
        <w:tblBorders>
          <w:top w:val="single" w:color="000000" w:sz="8"/>
          <w:left w:val="none"/>
          <w:bottom w:val="none"/>
          <w:right w:val="none"/>
          <w:insideH w:val="none"/>
          <w:insideV w:val="none"/>
        </w:tblBorders>
        <w:tblLayout w:type="fixed"/>
      </w:tblPr>
      <w:tblGrid>
        <w:gridCol w:w="11190"/>
      </w:tblGrid>
      <w:tr>
        <w:trPr>
          <w:trHeight w:val="393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1"/>
              </w:rPr>
              <w:t>TO BE COMPLETED BY HEALTH CARE PROFESSIONAL</w:t>
            </w:r>
          </w:p>
          <w:tbl>
            <w:tblPr>
              <w:tblW w:w="0" w:type="auto"/>
              <w:tblCellSpacing w:w="0" w:type="auto"/>
              <w:tblBorders>
                <w:top w:val="none"/>
                <w:left w:val="none"/>
                <w:bottom w:val="none"/>
                <w:right w:val="none"/>
                <w:insideH w:val="none"/>
                <w:insideV w:val="none"/>
              </w:tblBorders>
            </w:tblPr>
            <w:tblGrid>
              <w:gridCol w:w="11084"/>
            </w:tblGrid>
            <w:tr>
              <w:trPr>
                <w:trHeight w:val="240" w:hRule="atLeast"/>
              </w:trPr>
              <w:tc>
                <w:tcPr>
                  <w:tcW w:w="11084" w:type="dxa"/>
                  <w:tcBorders/>
                  <w:tcMar>
                    <w:top w:w="30" w:type="dxa"/>
                    <w:left w:w="30" w:type="dxa"/>
                    <w:bottom w:w="15" w:type="dxa"/>
                    <w:right w:w="30" w:type="dxa"/>
                  </w:tcMar>
                  <w:vAlign w:val="top"/>
                </w:tcPr>
                <w:p>
                  <w:pPr>
                    <w:spacing w:before="0" w:after="0"/>
                    <w:ind w:left="200"/>
                    <w:jc w:val="both"/>
                  </w:pPr>
                  <w:r>
                    <w:rPr>
                      <w:rFonts w:ascii="Times New Roman" w:hAnsi="Times New Roman"/>
                      <w:b w:val="false"/>
                      <w:i w:val="false"/>
                      <w:color w:val="000000"/>
                      <w:sz w:val="18"/>
                    </w:rPr>
                    <w:t>1. Does the individual identified above have a disability?</w:t>
                  </w:r>
                </w:p>
              </w:tc>
            </w:tr>
            <w:tr>
              <w:trPr>
                <w:trHeight w:val="240" w:hRule="atLeast"/>
              </w:trPr>
              <w:tc>
                <w:tcPr>
                  <w:tcW w:w="11084" w:type="dxa"/>
                  <w:tcBorders/>
                  <w:tcMar>
                    <w:top w:w="30" w:type="dxa"/>
                    <w:left w:w="30" w:type="dxa"/>
                    <w:bottom w:w="15" w:type="dxa"/>
                    <w:right w:w="30" w:type="dxa"/>
                  </w:tcMar>
                  <w:vAlign w:val="top"/>
                </w:tcPr>
                <w:p>
                  <w:pPr>
                    <w:spacing w:before="0" w:after="0"/>
                    <w:ind w:left="200"/>
                    <w:jc w:val="both"/>
                  </w:pPr>
                  <w:r>
                    <w:rPr>
                      <w:rFonts w:ascii="Times New Roman" w:hAnsi="Times New Roman"/>
                      <w:b w:val="false"/>
                      <w:i w:val="false"/>
                      <w:color w:val="000000"/>
                      <w:sz w:val="18"/>
                    </w:rPr>
                    <w:t>     ☐ Yes ☐ No</w:t>
                  </w:r>
                </w:p>
              </w:tc>
            </w:tr>
            <w:tr>
              <w:trPr>
                <w:trHeight w:val="435" w:hRule="atLeast"/>
              </w:trPr>
              <w:tc>
                <w:tcPr>
                  <w:tcW w:w="11084" w:type="dxa"/>
                  <w:tcBorders/>
                  <w:tcMar>
                    <w:top w:w="30" w:type="dxa"/>
                    <w:left w:w="30" w:type="dxa"/>
                    <w:bottom w:w="15" w:type="dxa"/>
                    <w:right w:w="30" w:type="dxa"/>
                  </w:tcMar>
                  <w:vAlign w:val="top"/>
                </w:tcPr>
                <w:p>
                  <w:pPr>
                    <w:spacing w:before="0" w:after="0"/>
                    <w:ind w:left="200"/>
                    <w:jc w:val="both"/>
                  </w:pPr>
                  <w:r>
                    <w:rPr>
                      <w:rFonts w:ascii="Times New Roman" w:hAnsi="Times New Roman"/>
                      <w:b w:val="false"/>
                      <w:i w:val="false"/>
                      <w:color w:val="000000"/>
                      <w:sz w:val="18"/>
                    </w:rPr>
                    <w:t>2. If yes, is the need for an assistance animal related to that disability? For example, does or would an assistance animal alleviate one or more of the symptoms or effects of the disability?</w:t>
                  </w:r>
                </w:p>
              </w:tc>
            </w:tr>
            <w:tr>
              <w:trPr>
                <w:trHeight w:val="240" w:hRule="atLeast"/>
              </w:trPr>
              <w:tc>
                <w:tcPr>
                  <w:tcW w:w="11084" w:type="dxa"/>
                  <w:tcBorders/>
                  <w:tcMar>
                    <w:top w:w="30" w:type="dxa"/>
                    <w:left w:w="30" w:type="dxa"/>
                    <w:bottom w:w="15" w:type="dxa"/>
                    <w:right w:w="30" w:type="dxa"/>
                  </w:tcMar>
                  <w:vAlign w:val="top"/>
                </w:tcPr>
                <w:p>
                  <w:pPr>
                    <w:spacing w:before="0" w:after="0"/>
                    <w:ind w:left="200"/>
                    <w:jc w:val="both"/>
                  </w:pPr>
                  <w:r>
                    <w:rPr>
                      <w:rFonts w:ascii="Times New Roman" w:hAnsi="Times New Roman"/>
                      <w:b w:val="false"/>
                      <w:i w:val="false"/>
                      <w:color w:val="000000"/>
                      <w:sz w:val="18"/>
                    </w:rPr>
                    <w:t>     ☐ Yes ☐ No</w:t>
                  </w:r>
                </w:p>
              </w:tc>
            </w:tr>
          </w:tbl>
          <w:p/>
          <w:p>
            <w:pPr>
              <w:spacing w:before="0" w:after="0"/>
              <w:ind w:left="160"/>
              <w:jc w:val="left"/>
            </w:pPr>
            <w:r>
              <w:rPr>
                <w:rFonts w:ascii="Times New Roman" w:hAnsi="Times New Roman"/>
                <w:b w:val="false"/>
                <w:i w:val="false"/>
                <w:color w:val="000000"/>
                <w:sz w:val="21"/>
              </w:rPr>
              <w:t xml:space="preserve">By signing below, the undersigned health care professional/licensee certifies that he/she 1) has met with the patient or client in person or by telemedicine, 2) is sufficiently familiar with the patient or client and the disability, </w:t>
            </w:r>
            <w:r>
              <w:rPr>
                <w:rFonts w:ascii="Times New Roman" w:hAnsi="Times New Roman"/>
                <w:b/>
                <w:i w:val="false"/>
                <w:color w:val="000000"/>
                <w:sz w:val="21"/>
                <w:u w:val="single"/>
              </w:rPr>
              <w:t>and</w:t>
            </w:r>
            <w:r>
              <w:rPr>
                <w:rFonts w:ascii="Times New Roman" w:hAnsi="Times New Roman"/>
                <w:b w:val="false"/>
                <w:i w:val="false"/>
                <w:color w:val="000000"/>
                <w:sz w:val="21"/>
              </w:rPr>
              <w:t xml:space="preserve"> 3) is legally and professionally qualified to make the finding.</w:t>
            </w:r>
          </w:p>
          <w:p>
            <w:pPr>
              <w:spacing w:before="0" w:after="0"/>
              <w:ind w:left="160"/>
              <w:jc w:val="both"/>
            </w:pPr>
            <w:r>
              <w:rPr>
                <w:rFonts w:ascii="Times New Roman" w:hAnsi="Times New Roman"/>
                <w:b w:val="false"/>
                <w:i w:val="false"/>
                <w:color w:val="000000"/>
                <w:sz w:val="21"/>
              </w:rPr>
              <w:t>Health Care Provider’s Name (printed): ________________________________________</w:t>
            </w:r>
          </w:p>
          <w:p>
            <w:pPr>
              <w:spacing w:before="0" w:after="0"/>
              <w:ind w:left="160"/>
              <w:jc w:val="both"/>
            </w:pPr>
            <w:r>
              <w:rPr>
                <w:rFonts w:ascii="Times New Roman" w:hAnsi="Times New Roman"/>
                <w:b w:val="false"/>
                <w:i w:val="false"/>
                <w:color w:val="000000"/>
                <w:sz w:val="21"/>
              </w:rPr>
              <w:t>Signature: ________________________________________________________</w:t>
            </w:r>
          </w:p>
          <w:p>
            <w:pPr>
              <w:spacing w:before="0" w:after="0"/>
              <w:ind w:left="160"/>
              <w:jc w:val="both"/>
            </w:pPr>
            <w:r>
              <w:rPr>
                <w:rFonts w:ascii="Times New Roman" w:hAnsi="Times New Roman"/>
                <w:b w:val="false"/>
                <w:i w:val="false"/>
                <w:color w:val="000000"/>
                <w:sz w:val="21"/>
              </w:rPr>
              <w:t>Date: _______________________</w:t>
            </w:r>
          </w:p>
          <w:p>
            <w:pPr>
              <w:spacing w:before="0" w:after="0"/>
              <w:ind w:left="160"/>
              <w:jc w:val="left"/>
            </w:pPr>
            <w:r>
              <w:rPr>
                <w:rFonts w:ascii="Times New Roman" w:hAnsi="Times New Roman"/>
                <w:b w:val="false"/>
                <w:i w:val="false"/>
                <w:color w:val="000000"/>
                <w:sz w:val="21"/>
              </w:rPr>
              <w:t> </w:t>
            </w:r>
          </w:p>
          <w:p>
            <w:pPr>
              <w:spacing w:before="0" w:after="0"/>
              <w:ind w:left="160"/>
              <w:jc w:val="both"/>
            </w:pPr>
            <w:r>
              <w:rPr>
                <w:rFonts w:ascii="Times New Roman" w:hAnsi="Times New Roman"/>
                <w:b w:val="false"/>
                <w:i w:val="false"/>
                <w:color w:val="000000"/>
                <w:sz w:val="21"/>
              </w:rPr>
              <w:t xml:space="preserve">References: Iowa Code sections </w:t>
            </w:r>
            <w:hyperlink r:id="rId108">
              <w:r>
                <w:rPr>
                  <w:rStyle w:val="Hyperlink"/>
                  <w:rFonts w:ascii="Times New Roman" w:hAnsi="Times New Roman"/>
                  <w:b w:val="false"/>
                  <w:i w:val="false"/>
                  <w:color w:val="000000"/>
                  <w:sz w:val="21"/>
                </w:rPr>
                <w:t>216.8B</w:t>
              </w:r>
            </w:hyperlink>
            <w:r>
              <w:rPr>
                <w:rFonts w:ascii="Times New Roman" w:hAnsi="Times New Roman"/>
                <w:b w:val="false"/>
                <w:i w:val="false"/>
                <w:color w:val="000000"/>
                <w:sz w:val="21"/>
              </w:rPr>
              <w:t xml:space="preserve"> and </w:t>
            </w:r>
            <w:hyperlink r:id="rId109">
              <w:r>
                <w:rPr>
                  <w:rStyle w:val="Hyperlink"/>
                  <w:rFonts w:ascii="Times New Roman" w:hAnsi="Times New Roman"/>
                  <w:b w:val="false"/>
                  <w:i w:val="false"/>
                  <w:color w:val="000000"/>
                  <w:sz w:val="21"/>
                </w:rPr>
                <w:t>216.8C</w:t>
              </w:r>
            </w:hyperlink>
          </w:p>
          <w:p>
            <w:pPr>
              <w:spacing w:before="0" w:after="0"/>
              <w:ind w:left="160"/>
              <w:jc w:val="both"/>
            </w:pPr>
            <w:r>
              <w:rPr>
                <w:rFonts w:ascii="Times New Roman" w:hAnsi="Times New Roman"/>
                <w:b w:val="false"/>
                <w:i w:val="false"/>
                <w:color w:val="000000"/>
                <w:sz w:val="21"/>
              </w:rPr>
              <w:t xml:space="preserve">Resources: </w:t>
            </w:r>
            <w:hyperlink r:id="rId110">
              <w:r>
                <w:rPr>
                  <w:rStyle w:val="Hyperlink"/>
                  <w:rFonts w:ascii="Times New Roman" w:hAnsi="Times New Roman"/>
                  <w:b w:val="false"/>
                  <w:i w:val="false"/>
                  <w:color w:val="000000"/>
                  <w:sz w:val="21"/>
                  <w:u w:val="single"/>
                </w:rPr>
                <w:t>https://icrc.iowa.gov/</w:t>
              </w:r>
            </w:hyperlink>
            <w:r>
              <w:rPr>
                <w:rFonts w:ascii="Times New Roman" w:hAnsi="Times New Roman"/>
                <w:b w:val="false"/>
                <w:i w:val="false"/>
                <w:color w:val="000000"/>
                <w:sz w:val="21"/>
              </w:rPr>
              <w:t>, 515-281-4121, 1-800-457-4416</w:t>
            </w:r>
          </w:p>
        </w:tc>
      </w:tr>
    </w:tbl>
    <w:p>
      <w:pPr>
        <w:spacing w:before="0" w:after="0"/>
        <w:ind w:left="120"/>
        <w:jc w:val="both"/>
      </w:pPr>
      <w:r>
        <w:rPr>
          <w:rFonts w:ascii="Times New Roman" w:hAnsi="Times New Roman"/>
          <w:b w:val="false"/>
          <w:i w:val="false"/>
          <w:color w:val="000000"/>
          <w:sz w:val="22"/>
        </w:rPr>
        <w:t>This document may contain privileged and confidential information and/or protected health information intended solely for the use by the recipient housing provider. Please exercise care to avoid dissemination.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4970C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7/17/92, Notice 6/10/92—published 8/5/92, effective 9/9/92]</w:t>
      </w:r>
    </w:p>
    <w:p>
      <w:pPr>
        <w:spacing w:before="0" w:after="0"/>
        <w:ind w:left="120"/>
        <w:jc w:val="center"/>
      </w:pPr>
      <w:r>
        <w:rPr>
          <w:rFonts w:ascii="Times New Roman" w:hAnsi="Times New Roman"/>
          <w:b w:val="false"/>
          <w:i w:val="false"/>
          <w:color w:val="000000"/>
          <w:sz w:val="21"/>
        </w:rPr>
        <w:t>[Filed 12/17/92, Notice 9/30/92—published 1/6/93, effective 2/10/93]</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6/25/99, Notice 5/19/99—published 7/14/99, effective 8/18/99]</w:t>
      </w:r>
    </w:p>
    <w:p>
      <w:pPr>
        <w:spacing w:before="0" w:after="0"/>
        <w:ind w:left="120"/>
        <w:jc w:val="center"/>
      </w:pPr>
      <w:r>
        <w:rPr>
          <w:rFonts w:ascii="Times New Roman" w:hAnsi="Times New Roman"/>
          <w:b w:val="false"/>
          <w:i w:val="false"/>
          <w:color w:val="000000"/>
          <w:sz w:val="21"/>
        </w:rPr>
        <w:t>[Filed 2/18/00, Notice 10/20/99—published 3/22/00, effective 4/26/00]</w:t>
      </w:r>
    </w:p>
    <w:p>
      <w:pPr>
        <w:spacing w:before="0" w:after="0"/>
        <w:ind w:left="120"/>
        <w:jc w:val="center"/>
      </w:pPr>
      <w:r>
        <w:rPr>
          <w:rFonts w:ascii="Times New Roman" w:hAnsi="Times New Roman"/>
          <w:b w:val="false"/>
          <w:i w:val="false"/>
          <w:color w:val="000000"/>
          <w:sz w:val="21"/>
        </w:rPr>
        <w:t>[Filed emergency 2/22/06 after Notice 1/4/06—published 3/15/06, effective 2/22/06]</w:t>
      </w:r>
    </w:p>
    <w:p>
      <w:pPr>
        <w:spacing w:before="0" w:after="0"/>
        <w:ind w:left="120"/>
        <w:jc w:val="center"/>
      </w:pPr>
      <w:r>
        <w:rPr>
          <w:rFonts w:ascii="Times New Roman" w:hAnsi="Times New Roman"/>
          <w:b w:val="false"/>
          <w:i w:val="false"/>
          <w:color w:val="000000"/>
          <w:sz w:val="21"/>
        </w:rPr>
        <w:t>[Filed 6/23/06, Notice 1/4/06—published 7/19/06, effective 8/23/06]</w:t>
      </w:r>
    </w:p>
    <w:p>
      <w:pPr>
        <w:spacing w:before="0" w:after="0"/>
        <w:ind w:left="120"/>
        <w:jc w:val="center"/>
      </w:pPr>
      <w:r>
        <w:rPr>
          <w:rFonts w:ascii="Times New Roman" w:hAnsi="Times New Roman"/>
          <w:b w:val="false"/>
          <w:i w:val="false"/>
          <w:color w:val="000000"/>
          <w:sz w:val="21"/>
        </w:rPr>
        <w:t>[Filed ARC 8744B</w:t>
      </w:r>
      <w:r>
        <w:rPr>
          <w:rFonts w:ascii="Times New Roman" w:hAnsi="Times New Roman"/>
          <w:b w:val="false"/>
          <w:i w:val="false"/>
          <w:color w:val="000000"/>
          <w:sz w:val="21"/>
        </w:rPr>
        <w:t xml:space="preserve"> (Notice ARC 8573B,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Emergency ARC 4552C, IAB 7/17/19, effective 6/26/19]</w:t>
      </w:r>
    </w:p>
    <w:p>
      <w:pPr>
        <w:spacing w:before="0" w:after="0"/>
        <w:ind w:left="120"/>
        <w:jc w:val="center"/>
      </w:pPr>
      <w:r>
        <w:rPr>
          <w:rFonts w:ascii="Times New Roman" w:hAnsi="Times New Roman"/>
          <w:b w:val="false"/>
          <w:i w:val="false"/>
          <w:color w:val="000000"/>
          <w:sz w:val="21"/>
        </w:rPr>
        <w:t>[Filed ARC 4970C</w:t>
      </w:r>
      <w:r>
        <w:rPr>
          <w:rFonts w:ascii="Times New Roman" w:hAnsi="Times New Roman"/>
          <w:b w:val="false"/>
          <w:i w:val="false"/>
          <w:color w:val="000000"/>
          <w:sz w:val="21"/>
        </w:rPr>
        <w:t xml:space="preserve"> (Notice ARC 4551C, IAB 7/17/19)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8.pdf" Type="http://schemas.openxmlformats.org/officeDocument/2006/relationships/hyperlink" Id="rId5"/>
    <Relationship TargetMode="External" Target="https://www.legis.iowa.gov/docs/ico/chapter/216.11.pdf" Type="http://schemas.openxmlformats.org/officeDocument/2006/relationships/hyperlink" Id="rId6"/>
    <Relationship TargetMode="External" Target="https://www.legis.iowa.gov/docs/ico/chapter/216.8.pdf" Type="http://schemas.openxmlformats.org/officeDocument/2006/relationships/hyperlink" Id="rId7"/>
    <Relationship TargetMode="External" Target="https://www.legis.iowa.gov/docs/iac/rule/161.9.1.pdf" Type="http://schemas.openxmlformats.org/officeDocument/2006/relationships/hyperlink" Id="rId8"/>
    <Relationship TargetMode="External" Target="https://www.legis.iowa.gov/docs/ico/chapter/216.8.pdf" Type="http://schemas.openxmlformats.org/officeDocument/2006/relationships/hyperlink" Id="rId9"/>
    <Relationship TargetMode="External" Target="https://www.legis.iowa.gov/docs/ico/chapter/216.11.pdf" Type="http://schemas.openxmlformats.org/officeDocument/2006/relationships/hyperlink" Id="rId10"/>
    <Relationship TargetMode="External" Target="https://www.legis.iowa.gov/docs/ico/chapter/216.8.pdf" Type="http://schemas.openxmlformats.org/officeDocument/2006/relationships/hyperlink" Id="rId11"/>
    <Relationship TargetMode="External" Target="https://www.legis.iowa.gov/docs/ico/chapter/216.pdf" Type="http://schemas.openxmlformats.org/officeDocument/2006/relationships/hyperlink" Id="rId12"/>
    <Relationship TargetMode="External" Target="https://www.legis.iowa.gov/docs/ico/chapter/216.12.pdf" Type="http://schemas.openxmlformats.org/officeDocument/2006/relationships/hyperlink" Id="rId13"/>
    <Relationship TargetMode="External" Target="https://www.legis.iowa.gov/docs/ico/chapter/216.12.pdf" Type="http://schemas.openxmlformats.org/officeDocument/2006/relationships/hyperlink" Id="rId14"/>
    <Relationship TargetMode="External" Target="https://www.legis.iowa.gov/docs/ico/chapter/216.12.pdf" Type="http://schemas.openxmlformats.org/officeDocument/2006/relationships/hyperlink" Id="rId15"/>
    <Relationship TargetMode="External" Target="https://www.legis.iowa.gov/docs/ico/chapter/216.8.pdf" Type="http://schemas.openxmlformats.org/officeDocument/2006/relationships/hyperlink" Id="rId16"/>
    <Relationship TargetMode="External" Target="https://www.legis.iowa.gov/docs/ico/chapter/216.2.pdf" Type="http://schemas.openxmlformats.org/officeDocument/2006/relationships/hyperlink" Id="rId17"/>
    <Relationship TargetMode="External" Target="https://www.legis.iowa.gov/docs/ico/chapter/216.pdf" Type="http://schemas.openxmlformats.org/officeDocument/2006/relationships/hyperlink" Id="rId18"/>
    <Relationship TargetMode="External" Target="https://www.legis.iowa.gov/docs/ico/chapter/216.12.pdf" Type="http://schemas.openxmlformats.org/officeDocument/2006/relationships/hyperlink" Id="rId19"/>
    <Relationship TargetMode="External" Target="https://www.legis.iowa.gov/docs/ico/chapter/216.15A.pdf" Type="http://schemas.openxmlformats.org/officeDocument/2006/relationships/hyperlink" Id="rId20"/>
    <Relationship TargetMode="External" Target="https://www.legis.iowa.gov/docs/ico/chapter/216.16A.pdf" Type="http://schemas.openxmlformats.org/officeDocument/2006/relationships/hyperlink" Id="rId21"/>
    <Relationship TargetMode="External" Target="https://www.legis.iowa.gov/docs/ico/chapter/216.16A.pdf" Type="http://schemas.openxmlformats.org/officeDocument/2006/relationships/hyperlink" Id="rId22"/>
    <Relationship TargetMode="External" Target="https://www.legis.iowa.gov/docs/ico/chapter/216.8.pdf" Type="http://schemas.openxmlformats.org/officeDocument/2006/relationships/hyperlink" Id="rId23"/>
    <Relationship TargetMode="External" Target="https://www.legis.iowa.gov/docs/ico/chapter/216.11.pdf" Type="http://schemas.openxmlformats.org/officeDocument/2006/relationships/hyperlink" Id="rId24"/>
    <Relationship TargetMode="External" Target="https://www.legis.iowa.gov/docs/ico/chapter/216.8.pdf" Type="http://schemas.openxmlformats.org/officeDocument/2006/relationships/hyperlink" Id="rId25"/>
    <Relationship TargetMode="External" Target="https://www.legis.iowa.gov/docs/ico/chapter/216.16A.pdf" Type="http://schemas.openxmlformats.org/officeDocument/2006/relationships/hyperlink" Id="rId26"/>
    <Relationship TargetMode="External" Target="https://www.legis.iowa.gov/docs/ico/chapter/216.16A.pdf" Type="http://schemas.openxmlformats.org/officeDocument/2006/relationships/hyperlink" Id="rId27"/>
    <Relationship TargetMode="External" Target="https://www.legis.iowa.gov/docs/ico/chapter/216.15A.pdf" Type="http://schemas.openxmlformats.org/officeDocument/2006/relationships/hyperlink" Id="rId28"/>
    <Relationship TargetMode="External" Target="https://www.legis.iowa.gov/docs/ico/chapter/216.2.pdf" Type="http://schemas.openxmlformats.org/officeDocument/2006/relationships/hyperlink" Id="rId29"/>
    <Relationship TargetMode="External" Target="https://www.legis.iowa.gov/docs/ico/chapter/216.8.pdf" Type="http://schemas.openxmlformats.org/officeDocument/2006/relationships/hyperlink" Id="rId30"/>
    <Relationship TargetMode="External" Target="https://www.legis.iowa.gov/docs/ico/chapter/216.11.pdf" Type="http://schemas.openxmlformats.org/officeDocument/2006/relationships/hyperlink" Id="rId31"/>
    <Relationship TargetMode="External" Target="https://www.legis.iowa.gov/docs/ico/chapter/216.8.pdf" Type="http://schemas.openxmlformats.org/officeDocument/2006/relationships/hyperlink" Id="rId32"/>
    <Relationship TargetMode="External" Target="https://www.legis.iowa.gov/docs/ico/chapter/216.5.pdf" Type="http://schemas.openxmlformats.org/officeDocument/2006/relationships/hyperlink" Id="rId33"/>
    <Relationship TargetMode="External" Target="https://www.legis.iowa.gov/docs/ico/chapter/216.19.pdf" Type="http://schemas.openxmlformats.org/officeDocument/2006/relationships/hyperlink" Id="rId34"/>
    <Relationship TargetMode="External" Target="https://www.legis.iowa.gov/docs/ico/chapter/216.8.pdf" Type="http://schemas.openxmlformats.org/officeDocument/2006/relationships/hyperlink" Id="rId35"/>
    <Relationship TargetMode="External" Target="https://www.legis.iowa.gov/docs/ico/chapter/216.11.pdf" Type="http://schemas.openxmlformats.org/officeDocument/2006/relationships/hyperlink" Id="rId36"/>
    <Relationship TargetMode="External" Target="https://www.legis.iowa.gov/docs/ico/chapter/216.8.pdf" Type="http://schemas.openxmlformats.org/officeDocument/2006/relationships/hyperlink" Id="rId37"/>
    <Relationship TargetMode="External" Target="https://www.legis.iowa.gov/docs/ico/chapter/216.16A.pdf" Type="http://schemas.openxmlformats.org/officeDocument/2006/relationships/hyperlink" Id="rId38"/>
    <Relationship TargetMode="External" Target="https://www.legis.iowa.gov/docs/ico/chapter/216.16A.pdf" Type="http://schemas.openxmlformats.org/officeDocument/2006/relationships/hyperlink" Id="rId39"/>
    <Relationship TargetMode="External" Target="https://www.legis.iowa.gov/docs/ico/chapter/216.16A.pdf" Type="http://schemas.openxmlformats.org/officeDocument/2006/relationships/hyperlink" Id="rId40"/>
    <Relationship TargetMode="External" Target="https://www.legis.iowa.gov/docs/ico/chapter/216.16A.pdf" Type="http://schemas.openxmlformats.org/officeDocument/2006/relationships/hyperlink" Id="rId41"/>
    <Relationship TargetMode="External" Target="https://www.legis.iowa.gov/docs/ico/chapter/216.16A.pdf" Type="http://schemas.openxmlformats.org/officeDocument/2006/relationships/hyperlink" Id="rId42"/>
    <Relationship TargetMode="External" Target="https://www.legis.iowa.gov/docs/ico/chapter/216.17A.pdf" Type="http://schemas.openxmlformats.org/officeDocument/2006/relationships/hyperlink" Id="rId43"/>
    <Relationship TargetMode="External" Target="https://www.legis.iowa.gov/docs/ico/chapter/216.16A.pdf" Type="http://schemas.openxmlformats.org/officeDocument/2006/relationships/hyperlink" Id="rId44"/>
    <Relationship TargetMode="External" Target="https://www.legis.iowa.gov/docs/ico/chapter/216.16A.pdf" Type="http://schemas.openxmlformats.org/officeDocument/2006/relationships/hyperlink" Id="rId45"/>
    <Relationship TargetMode="External" Target="https://www.legis.iowa.gov/docs/ico/chapter/216.16A.pdf" Type="http://schemas.openxmlformats.org/officeDocument/2006/relationships/hyperlink" Id="rId46"/>
    <Relationship TargetMode="External" Target="https://www.legis.iowa.gov/docs/ico/chapter/216.17A.pdf" Type="http://schemas.openxmlformats.org/officeDocument/2006/relationships/hyperlink" Id="rId47"/>
    <Relationship TargetMode="External" Target="https://www.legis.iowa.gov/docs/ico/chapter/216.16A.pdf" Type="http://schemas.openxmlformats.org/officeDocument/2006/relationships/hyperlink" Id="rId48"/>
    <Relationship TargetMode="External" Target="https://www.legis.iowa.gov/docs/ico/chapter/216.16A.pdf" Type="http://schemas.openxmlformats.org/officeDocument/2006/relationships/hyperlink" Id="rId49"/>
    <Relationship TargetMode="External" Target="https://www.legis.iowa.gov/docs/ico/chapter/216.16A.pdf" Type="http://schemas.openxmlformats.org/officeDocument/2006/relationships/hyperlink" Id="rId50"/>
    <Relationship TargetMode="External" Target="https://www.legis.iowa.gov/docs/ico/chapter/216.15.pdf" Type="http://schemas.openxmlformats.org/officeDocument/2006/relationships/hyperlink" Id="rId51"/>
    <Relationship TargetMode="External" Target="https://www.legis.iowa.gov/docs/iac/rule/161.9.5.pdf" Type="http://schemas.openxmlformats.org/officeDocument/2006/relationships/hyperlink" Id="rId52"/>
    <Relationship TargetMode="External" Target="https://www.legis.iowa.gov/docs/ico/chapter/216.pdf" Type="http://schemas.openxmlformats.org/officeDocument/2006/relationships/hyperlink" Id="rId53"/>
    <Relationship TargetMode="External" Target="https://www.legis.iowa.gov/docs/ico/chapter/216.pdf" Type="http://schemas.openxmlformats.org/officeDocument/2006/relationships/hyperlink" Id="rId54"/>
    <Relationship TargetMode="External" Target="https://www.legis.iowa.gov/docs/iac/rule/161.9.5.pdf" Type="http://schemas.openxmlformats.org/officeDocument/2006/relationships/hyperlink" Id="rId55"/>
    <Relationship TargetMode="External" Target="https://www.legis.iowa.gov/docs/iac/rule/161.9.5.pdf" Type="http://schemas.openxmlformats.org/officeDocument/2006/relationships/hyperlink" Id="rId56"/>
    <Relationship TargetMode="External" Target="https://www.legis.iowa.gov/docs/ico/chapter/216.15A.pdf" Type="http://schemas.openxmlformats.org/officeDocument/2006/relationships/hyperlink" Id="rId57"/>
    <Relationship TargetMode="External" Target="https://www.legis.iowa.gov/docs/ico/chapter/216.16.pdf" Type="http://schemas.openxmlformats.org/officeDocument/2006/relationships/hyperlink" Id="rId58"/>
    <Relationship TargetMode="External" Target="https://www.legis.iowa.gov/docs/iac/rule/161.9.5.pdf" Type="http://schemas.openxmlformats.org/officeDocument/2006/relationships/hyperlink" Id="rId59"/>
    <Relationship TargetMode="External" Target="https://www.legis.iowa.gov/docs/ico/chapter/216.pdf" Type="http://schemas.openxmlformats.org/officeDocument/2006/relationships/hyperlink" Id="rId60"/>
    <Relationship TargetMode="External" Target="https://www.legis.iowa.gov/docs/iac/rule/161.9.5.pdf" Type="http://schemas.openxmlformats.org/officeDocument/2006/relationships/hyperlink" Id="rId61"/>
    <Relationship TargetMode="External" Target="https://www.legis.iowa.gov/docs/ico/chapter/216.15A.pdf" Type="http://schemas.openxmlformats.org/officeDocument/2006/relationships/hyperlink" Id="rId62"/>
    <Relationship TargetMode="External" Target="https://www.legis.iowa.gov/docs/iac/rule/161.9.6.pdf" Type="http://schemas.openxmlformats.org/officeDocument/2006/relationships/hyperlink" Id="rId63"/>
    <Relationship TargetMode="External" Target="https://www.legis.iowa.gov/docs/iac/rule/161.9.16.pdf" Type="http://schemas.openxmlformats.org/officeDocument/2006/relationships/hyperlink" Id="rId64"/>
    <Relationship TargetMode="External" Target="https://www.legis.iowa.gov/docs/iac/rule/161.9.16.pdf" Type="http://schemas.openxmlformats.org/officeDocument/2006/relationships/hyperlink" Id="rId65"/>
    <Relationship TargetMode="External" Target="https://www.legis.iowa.gov/docs/iac/rule/161.9.16.pdf" Type="http://schemas.openxmlformats.org/officeDocument/2006/relationships/hyperlink" Id="rId66"/>
    <Relationship TargetMode="External" Target="https://www.legis.iowa.gov/docs/iac/rule/161.9.7.pdf" Type="http://schemas.openxmlformats.org/officeDocument/2006/relationships/hyperlink" Id="rId67"/>
    <Relationship TargetMode="External" Target="https://www.legis.iowa.gov/docs/iac/rule/161.9.16.pdf" Type="http://schemas.openxmlformats.org/officeDocument/2006/relationships/hyperlink" Id="rId68"/>
    <Relationship TargetMode="External" Target="https://www.legis.iowa.gov/docs/iac/rule/161.9.16.pdf" Type="http://schemas.openxmlformats.org/officeDocument/2006/relationships/hyperlink" Id="rId69"/>
    <Relationship TargetMode="External" Target="https://www.legis.iowa.gov/docs/iac/rule/161.9.10.pdf" Type="http://schemas.openxmlformats.org/officeDocument/2006/relationships/hyperlink" Id="rId70"/>
    <Relationship TargetMode="External" Target="https://www.legis.iowa.gov/docs/iac/rule/161.9.7.pdf" Type="http://schemas.openxmlformats.org/officeDocument/2006/relationships/hyperlink" Id="rId71"/>
    <Relationship TargetMode="External" Target="https://www.legis.iowa.gov/docs/iac/rule/161.9.7.pdf" Type="http://schemas.openxmlformats.org/officeDocument/2006/relationships/hyperlink" Id="rId72"/>
    <Relationship TargetMode="External" Target="https://www.legis.iowa.gov/docs/iac/rule/161.9.16.pdf" Type="http://schemas.openxmlformats.org/officeDocument/2006/relationships/hyperlink" Id="rId73"/>
    <Relationship TargetMode="External" Target="https://www.legis.iowa.gov/docs/iac/rule/161.9.14.pdf" Type="http://schemas.openxmlformats.org/officeDocument/2006/relationships/hyperlink" Id="rId74"/>
    <Relationship TargetMode="External" Target="https://www.legis.iowa.gov/docs/iac/rule/161.9.17.pdf" Type="http://schemas.openxmlformats.org/officeDocument/2006/relationships/hyperlink" Id="rId75"/>
    <Relationship TargetMode="External" Target="https://www.legis.iowa.gov/docs/iac/rule/161.9.18.pdf" Type="http://schemas.openxmlformats.org/officeDocument/2006/relationships/hyperlink" Id="rId76"/>
    <Relationship TargetMode="External" Target="https://www.legis.iowa.gov/docs/iac/rule/161.9.9.pdf" Type="http://schemas.openxmlformats.org/officeDocument/2006/relationships/hyperlink" Id="rId77"/>
    <Relationship TargetMode="External" Target="https://www.legis.iowa.gov/docs/iac/rule/161.9.12.pdf" Type="http://schemas.openxmlformats.org/officeDocument/2006/relationships/hyperlink" Id="rId78"/>
    <Relationship TargetMode="External" Target="https://www.legis.iowa.gov/docs/iac/rule/161.9.16.pdf" Type="http://schemas.openxmlformats.org/officeDocument/2006/relationships/hyperlink" Id="rId79"/>
    <Relationship TargetMode="External" Target="https://www.legis.iowa.gov/docs/iac/rule/161.9.8.pdf" Type="http://schemas.openxmlformats.org/officeDocument/2006/relationships/hyperlink" Id="rId80"/>
    <Relationship TargetMode="External" Target="https://www.legis.iowa.gov/docs/iac/rule/161.9.18.pdf" Type="http://schemas.openxmlformats.org/officeDocument/2006/relationships/hyperlink" Id="rId81"/>
    <Relationship TargetMode="External" Target="https://www.legis.iowa.gov/docs/iac/rule/161.9.16.pdf" Type="http://schemas.openxmlformats.org/officeDocument/2006/relationships/hyperlink" Id="rId82"/>
    <Relationship TargetMode="External" Target="https://www.legis.iowa.gov/docs/iac/rule/161.9.14.pdf" Type="http://schemas.openxmlformats.org/officeDocument/2006/relationships/hyperlink" Id="rId83"/>
    <Relationship TargetMode="External" Target="https://www.legis.iowa.gov/docs/iac/rule/161.9.10.pdf" Type="http://schemas.openxmlformats.org/officeDocument/2006/relationships/hyperlink" Id="rId84"/>
    <Relationship TargetMode="External" Target="https://www.legis.iowa.gov/docs/iac/rule/161.9.10.pdf" Type="http://schemas.openxmlformats.org/officeDocument/2006/relationships/hyperlink" Id="rId85"/>
    <Relationship TargetMode="External" Target="https://www.legis.iowa.gov/docs/iac/rule/161.9.18.pdf" Type="http://schemas.openxmlformats.org/officeDocument/2006/relationships/hyperlink" Id="rId86"/>
    <Relationship TargetMode="External" Target="https://www.legis.iowa.gov/docs/iac/rule/161.9.9.pdf" Type="http://schemas.openxmlformats.org/officeDocument/2006/relationships/hyperlink" Id="rId87"/>
    <Relationship TargetMode="External" Target="https://www.legis.iowa.gov/docs/iac/rule/161.9.12.pdf" Type="http://schemas.openxmlformats.org/officeDocument/2006/relationships/hyperlink" Id="rId88"/>
    <Relationship TargetMode="External" Target="https://www.legis.iowa.gov/docs/iac/rule/161.9.16.pdf" Type="http://schemas.openxmlformats.org/officeDocument/2006/relationships/hyperlink" Id="rId89"/>
    <Relationship TargetMode="External" Target="https://www.legis.iowa.gov/docs/iac/rule/161.9.8.pdf" Type="http://schemas.openxmlformats.org/officeDocument/2006/relationships/hyperlink" Id="rId90"/>
    <Relationship TargetMode="External" Target="https://www.legis.iowa.gov/docs/ico/chapter/216.15.pdf" Type="http://schemas.openxmlformats.org/officeDocument/2006/relationships/hyperlink" Id="rId91"/>
    <Relationship TargetMode="External" Target="https://www.legis.iowa.gov/docs/iac/rule/161.9.18.pdf" Type="http://schemas.openxmlformats.org/officeDocument/2006/relationships/hyperlink" Id="rId92"/>
    <Relationship TargetMode="External" Target="https://www.legis.iowa.gov/docs/iac/rule/161.9.12.pdf" Type="http://schemas.openxmlformats.org/officeDocument/2006/relationships/hyperlink" Id="rId93"/>
    <Relationship TargetMode="External" Target="https://www.legis.iowa.gov/docs/iac/rule/161.9.13.pdf" Type="http://schemas.openxmlformats.org/officeDocument/2006/relationships/hyperlink" Id="rId94"/>
    <Relationship TargetMode="External" Target="https://www.legis.iowa.gov/docs/iac/rule/161.9.13.pdf" Type="http://schemas.openxmlformats.org/officeDocument/2006/relationships/hyperlink" Id="rId95"/>
    <Relationship TargetMode="External" Target="https://www.legis.iowa.gov/docs/iac/rule/161.9.18.pdf" Type="http://schemas.openxmlformats.org/officeDocument/2006/relationships/hyperlink" Id="rId96"/>
    <Relationship TargetMode="External" Target="https://www.legis.iowa.gov/docs/iac/rule/161.9.17.pdf" Type="http://schemas.openxmlformats.org/officeDocument/2006/relationships/hyperlink" Id="rId97"/>
    <Relationship TargetMode="External" Target="https://www.legis.iowa.gov/docs/iac/rule/161.9.8.pdf" Type="http://schemas.openxmlformats.org/officeDocument/2006/relationships/hyperlink" Id="rId98"/>
    <Relationship TargetMode="External" Target="https://www.legis.iowa.gov/docs/iac/rule/161.9.18.pdf" Type="http://schemas.openxmlformats.org/officeDocument/2006/relationships/hyperlink" Id="rId99"/>
    <Relationship TargetMode="External" Target="https://www.legis.iowa.gov/docs/iac/rule/161.3.14.pdf" Type="http://schemas.openxmlformats.org/officeDocument/2006/relationships/hyperlink" Id="rId100"/>
    <Relationship TargetMode="External" Target="https://www.legis.iowa.gov/docs/iac/rule/161.4.6.pdf" Type="http://schemas.openxmlformats.org/officeDocument/2006/relationships/hyperlink" Id="rId101"/>
    <Relationship TargetMode="External" Target="https://www.legis.iowa.gov/docs/iac/rule/161.9.16.pdf" Type="http://schemas.openxmlformats.org/officeDocument/2006/relationships/hyperlink" Id="rId102"/>
    <Relationship TargetMode="External" Target="https://www.legis.iowa.gov/docs/iac/rule/161.4.23.pdf" Type="http://schemas.openxmlformats.org/officeDocument/2006/relationships/hyperlink" Id="rId103"/>
    <Relationship TargetMode="External" Target="https://www.legis.iowa.gov/docs/iac/rule/161.4.25.pdf" Type="http://schemas.openxmlformats.org/officeDocument/2006/relationships/hyperlink" Id="rId104"/>
    <Relationship TargetMode="External" Target="https://www.legis.iowa.gov/docs/ico/chapter/216.5.pdf" Type="http://schemas.openxmlformats.org/officeDocument/2006/relationships/hyperlink" Id="rId105"/>
    <Relationship TargetMode="External" Target="https://www.legis.iowa.gov/docs/ico/chapter/216.8.pdf" Type="http://schemas.openxmlformats.org/officeDocument/2006/relationships/hyperlink" Id="rId106"/>
    <Relationship TargetMode="External" Target="https://www.legis.iowa.gov/docs/ico/chapter/216.8A.pdf" Type="http://schemas.openxmlformats.org/officeDocument/2006/relationships/hyperlink" Id="rId107"/>
    <Relationship TargetMode="External" Target="https://www.legis.iowa.gov/docs/ico/chapter/216.8B.pdf" Type="http://schemas.openxmlformats.org/officeDocument/2006/relationships/hyperlink" Id="rId108"/>
    <Relationship TargetMode="External" Target="https://www.legis.iowa.gov/docs/ico/chapter/216.8C.pdf" Type="http://schemas.openxmlformats.org/officeDocument/2006/relationships/hyperlink" Id="rId109"/>
    <Relationship TargetMode="External" Target="https://icrc.iowa.gov/" Type="http://schemas.openxmlformats.org/officeDocument/2006/relationships/hyperlink" Id="rId1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