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COMPLAINT PROCESS</w:t>
      </w:r>
    </w:p>
    <w:p>
      <w:pPr>
        <w:spacing w:before="0" w:after="0"/>
        <w:ind w:left="120"/>
        <w:jc w:val="center"/>
      </w:pPr>
      <w:r>
        <w:rPr>
          <w:rFonts w:ascii="Times New Roman" w:hAnsi="Times New Roman"/>
          <w:b w:val="false"/>
          <w:i w:val="false"/>
          <w:color w:val="000000"/>
          <w:sz w:val="14"/>
        </w:rPr>
        <w:t>[Prior to 1/13/88, see Civil Rights 240—1.3 to 1.7, 1.16, 1.17]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9/25/29</w:t>
      </w:r>
    </w:p>
    <w:p>
      <w:pPr>
        <w:spacing w:before="0" w:after="0"/>
        <w:ind w:left="120"/>
        <w:jc w:val="both"/>
      </w:pPr>
      <w:r>
        <w:rPr>
          <w:rFonts w:ascii="Times New Roman" w:hAnsi="Times New Roman"/>
          <w:b/>
          <w:i w:val="false"/>
          <w:color w:val="000000"/>
          <w:sz w:val="22"/>
        </w:rPr>
        <w:t>161—3.1</w:t>
      </w:r>
      <w:r>
        <w:rPr>
          <w:rFonts w:ascii="Times New Roman" w:hAnsi="Times New Roman"/>
          <w:b/>
          <w:i w:val="false"/>
          <w:color w:val="000000"/>
          <w:sz w:val="22"/>
        </w:rPr>
        <w:t xml:space="preserve">(216) </w:t>
      </w:r>
      <w:r>
        <w:rPr>
          <w:rFonts w:ascii="Times New Roman" w:hAnsi="Times New Roman"/>
          <w:b/>
          <w:i w:val="false"/>
          <w:color w:val="000000"/>
          <w:sz w:val="22"/>
        </w:rPr>
        <w:t xml:space="preserve">Initiation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Contents of complaint. </w:t>
      </w:r>
      <w:r>
        <w:rPr>
          <w:rFonts w:ascii="Times New Roman" w:hAnsi="Times New Roman"/>
          <w:b w:val="false"/>
          <w:i w:val="false"/>
          <w:color w:val="000000"/>
          <w:sz w:val="22"/>
        </w:rPr>
        <w:t>Each complaint should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phone number of the person making the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each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the facts constituting each alleged discriminatory practice, including pertinent dates,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employment discrimination is alleged, the approximate number of respondent’s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Technical defects in complaint. </w:t>
      </w:r>
      <w:r>
        <w:rPr>
          <w:rFonts w:ascii="Times New Roman" w:hAnsi="Times New Roman"/>
          <w:b w:val="false"/>
          <w:i w:val="false"/>
          <w:color w:val="000000"/>
          <w:sz w:val="22"/>
        </w:rPr>
        <w:t>A complaint is sufficient when it includes a written statement that identifies the parties and generally describes the alleged discriminatory actions or practices. Complaints may be amended to cure technical defects or omissions including verification. Such amendments will relate back to the date the complaint was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161—3.2</w:t>
      </w:r>
      <w:r>
        <w:rPr>
          <w:rFonts w:ascii="Times New Roman" w:hAnsi="Times New Roman"/>
          <w:b/>
          <w:i w:val="false"/>
          <w:color w:val="000000"/>
          <w:sz w:val="22"/>
        </w:rPr>
        <w:t xml:space="preserve">(216) </w:t>
      </w:r>
      <w:r>
        <w:rPr>
          <w:rFonts w:ascii="Times New Roman" w:hAnsi="Times New Roman"/>
          <w:b/>
          <w:i w:val="false"/>
          <w:color w:val="000000"/>
          <w:sz w:val="22"/>
        </w:rPr>
        <w:t xml:space="preserve">Timely filing of the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 xml:space="preserve">All alleged continuous violations that constitute a pattern or practice are timely if the most recent act occurred within 300 days of filing the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300-day filing period is subject to waiver, estoppel, and equitable tolling. Equitable tolling depends upon the facts and circumstances of the case and suspends the running of the filing period for as long as the grounds for tolling exist.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w:t>
      </w:r>
      <w:r>
        <w:rPr>
          <w:rFonts w:ascii="Times New Roman" w:hAnsi="Times New Roman"/>
          <w:b/>
          <w:i w:val="false"/>
          <w:color w:val="000000"/>
          <w:sz w:val="22"/>
        </w:rPr>
        <w:t xml:space="preserve">(216) </w:t>
      </w:r>
      <w:r>
        <w:rPr>
          <w:rFonts w:ascii="Times New Roman" w:hAnsi="Times New Roman"/>
          <w:b/>
          <w:i w:val="false"/>
          <w:color w:val="000000"/>
          <w:sz w:val="22"/>
        </w:rPr>
        <w:t xml:space="preserve">Jurisdictional review. </w:t>
      </w:r>
      <w:r>
        <w:rPr>
          <w:rFonts w:ascii="Times New Roman" w:hAnsi="Times New Roman"/>
          <w:b w:val="false"/>
          <w:i w:val="false"/>
          <w:color w:val="000000"/>
          <w:sz w:val="22"/>
        </w:rPr>
        <w:t>Upon receipt of a submitted complaint form, the executive director or designee shall review the form to determine whether the agency has jurisdiction. A no jurisdiction determination constitutes a final agency action for purposes of judicial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161—3.4</w:t>
      </w:r>
      <w:r>
        <w:rPr>
          <w:rFonts w:ascii="Times New Roman" w:hAnsi="Times New Roman"/>
          <w:b/>
          <w:i w:val="false"/>
          <w:color w:val="000000"/>
          <w:sz w:val="22"/>
        </w:rPr>
        <w:t xml:space="preserve">(216) </w:t>
      </w:r>
      <w:r>
        <w:rPr>
          <w:rFonts w:ascii="Times New Roman" w:hAnsi="Times New Roman"/>
          <w:b/>
          <w:i w:val="false"/>
          <w:color w:val="000000"/>
          <w:sz w:val="22"/>
        </w:rPr>
        <w:t xml:space="preserve">Amendment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Amendment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or any part thereof may be amended by the complainant or agency prior to the contested case hearing. Complaints may be amended to include additional allegations discovered during investigation. The issues at the contested case hearing shall include facts uncovered during investigation and are not limited to the allegations in the original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Amendments alleging additional discriminatory acts or practices do not relate back to the original complaint. These amendments will only be permitted if the amended complaint could have been filed as a timely complaint on the date the amended complaint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contested case hearing, the administrative law judge may amend the complaint at their discretion. Where an amendment is made, the administrative law judge may grant the respondent a continuance if needed to prepare to defend the amended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Amendments adding successor respondents. </w:t>
      </w:r>
      <w:r>
        <w:rPr>
          <w:rFonts w:ascii="Times New Roman" w:hAnsi="Times New Roman"/>
          <w:b w:val="false"/>
          <w:i w:val="false"/>
          <w:color w:val="000000"/>
          <w:sz w:val="22"/>
        </w:rPr>
        <w:t>The complainant or the agency may at any time amend a complaint to add an alleged successor as a respondent. If a successor is added after issuance of the notice of hearing, the administrative law judge may grant a continuance to allow the successor to prepare its defense.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161—3.5</w:t>
      </w:r>
      <w:r>
        <w:rPr>
          <w:rFonts w:ascii="Times New Roman" w:hAnsi="Times New Roman"/>
          <w:b/>
          <w:i w:val="false"/>
          <w:color w:val="000000"/>
          <w:sz w:val="22"/>
        </w:rPr>
        <w:t xml:space="preserve">(216) </w:t>
      </w:r>
      <w:r>
        <w:rPr>
          <w:rFonts w:ascii="Times New Roman" w:hAnsi="Times New Roman"/>
          <w:b/>
          <w:i w:val="false"/>
          <w:color w:val="000000"/>
          <w:sz w:val="22"/>
        </w:rPr>
        <w:t xml:space="preserve">Notice of the complaint. </w:t>
      </w:r>
      <w:r>
        <w:rPr>
          <w:rFonts w:ascii="Times New Roman" w:hAnsi="Times New Roman"/>
          <w:b w:val="false"/>
          <w:i w:val="false"/>
          <w:color w:val="000000"/>
          <w:sz w:val="22"/>
        </w:rPr>
        <w:t xml:space="preserve">After jurisdiction is established, the agency will serve a copy of the complaint upon the respondent within 20 days by mail or electronic mail. In the absence of a response from the first named respondent within 90 days, the agency shall serve the complaint on the first-named respondent by certified mail within 20 days and inform complainant by letter of acknowledgment of the right to withdraw the complaint or to request an administrative release to commence the complainant’s own action in Iowa district court in accordance with Iowa Code section </w:t>
      </w:r>
      <w:hyperlink r:id="rId5">
        <w:r>
          <w:rPr>
            <w:rStyle w:val="Hyperlink"/>
            <w:rFonts w:ascii="Times New Roman" w:hAnsi="Times New Roman"/>
            <w:b w:val="false"/>
            <w:i w:val="false"/>
            <w:color w:val="000000"/>
            <w:sz w:val="22"/>
          </w:rPr>
          <w:t>216.16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161—3.6</w:t>
      </w:r>
      <w:r>
        <w:rPr>
          <w:rFonts w:ascii="Times New Roman" w:hAnsi="Times New Roman"/>
          <w:b/>
          <w:i w:val="false"/>
          <w:color w:val="000000"/>
          <w:sz w:val="22"/>
        </w:rPr>
        <w:t xml:space="preserve">(216) </w:t>
      </w:r>
      <w:r>
        <w:rPr>
          <w:rFonts w:ascii="Times New Roman" w:hAnsi="Times New Roman"/>
          <w:b/>
          <w:i w:val="false"/>
          <w:color w:val="000000"/>
          <w:sz w:val="22"/>
        </w:rPr>
        <w:t xml:space="preserve">Preservation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Duty to preserve. </w:t>
      </w:r>
      <w:r>
        <w:rPr>
          <w:rFonts w:ascii="Times New Roman" w:hAnsi="Times New Roman"/>
          <w:b w:val="false"/>
          <w:i w:val="false"/>
          <w:color w:val="000000"/>
          <w:sz w:val="22"/>
        </w:rPr>
        <w:t xml:space="preserve">When a complaint has been served on a respondent, the respondent shall preserve all records relevant to the investigation until the complaint is finally adjudicated,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books, papers, documents, applications, forms, or records of any form that are relevant to the scope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relating to the complainant, other employees, applicants or members holding or seeking positions similar to that held or sought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relating to other applicants for the same position or membership as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Failure to preserve. </w:t>
      </w:r>
      <w:r>
        <w:rPr>
          <w:rFonts w:ascii="Times New Roman" w:hAnsi="Times New Roman"/>
          <w:b w:val="false"/>
          <w:i w:val="false"/>
          <w:color w:val="000000"/>
          <w:sz w:val="22"/>
        </w:rPr>
        <w:t>At a contested hearing, the administrative law judge may determine a party or agent of the party destroyed evidence relevant to the investigation. The administrative law judge may infer that the destroyed evidence was adverse to the party who destroyed the evidence or whose agent destroyed the evidence. The administrative law judge shall determine whether the destruction was done at a time when the party or agent knew or should have known that the evidence destroyed was relevant to the investigation and whether the explanation for the destruction is unsatisfactory.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161—3.7</w:t>
      </w:r>
      <w:r>
        <w:rPr>
          <w:rFonts w:ascii="Times New Roman" w:hAnsi="Times New Roman"/>
          <w:b w:val="false"/>
          <w:i w:val="false"/>
          <w:color w:val="000000"/>
          <w:sz w:val="22"/>
        </w:rPr>
        <w:t xml:space="preserve"> to </w:t>
      </w:r>
      <w:r>
        <w:rPr>
          <w:rFonts w:ascii="Times New Roman" w:hAnsi="Times New Roman"/>
          <w:b/>
          <w:i w:val="false"/>
          <w:color w:val="000000"/>
          <w:sz w:val="22"/>
        </w:rPr>
        <w:t>3.11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161—3.12</w:t>
      </w:r>
      <w:r>
        <w:rPr>
          <w:rFonts w:ascii="Times New Roman" w:hAnsi="Times New Roman"/>
          <w:b/>
          <w:i w:val="false"/>
          <w:color w:val="000000"/>
          <w:sz w:val="22"/>
        </w:rPr>
        <w:t xml:space="preserve">(216) </w:t>
      </w:r>
      <w:r>
        <w:rPr>
          <w:rFonts w:ascii="Times New Roman" w:hAnsi="Times New Roman"/>
          <w:b/>
          <w:i w:val="false"/>
          <w:color w:val="000000"/>
          <w:sz w:val="22"/>
        </w:rPr>
        <w:t xml:space="preserve">Mediation. </w:t>
      </w:r>
      <w:r>
        <w:rPr>
          <w:rFonts w:ascii="Times New Roman" w:hAnsi="Times New Roman"/>
          <w:b w:val="false"/>
          <w:i w:val="false"/>
          <w:color w:val="000000"/>
          <w:sz w:val="22"/>
        </w:rPr>
        <w:t>Mediation is a free service offered by the agency. Mediation is available to all parties irrespective of representation by counsel. Mediation may encompass all issues in the case that could be investigated. If the parties agree to seek and obtain a global settlement not limited to a resolution of the civil rights issues, the mediation may be expanded to include these collateral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161—3.13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161—3.14</w:t>
      </w:r>
      <w:r>
        <w:rPr>
          <w:rFonts w:ascii="Times New Roman" w:hAnsi="Times New Roman"/>
          <w:b/>
          <w:i w:val="false"/>
          <w:color w:val="000000"/>
          <w:sz w:val="22"/>
        </w:rPr>
        <w:t xml:space="preserve">(216) </w:t>
      </w:r>
      <w:r>
        <w:rPr>
          <w:rFonts w:ascii="Times New Roman" w:hAnsi="Times New Roman"/>
          <w:b/>
          <w:i w:val="false"/>
          <w:color w:val="000000"/>
          <w:sz w:val="22"/>
        </w:rPr>
        <w:t xml:space="preserve">Document submission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color w:val="000000"/>
          <w:sz w:val="22"/>
        </w:rPr>
        <w:t xml:space="preserve">Methods of filing. </w:t>
      </w:r>
      <w:r>
        <w:rPr>
          <w:rFonts w:ascii="Times New Roman" w:hAnsi="Times New Roman"/>
          <w:b w:val="false"/>
          <w:i w:val="false"/>
          <w:color w:val="000000"/>
          <w:sz w:val="22"/>
        </w:rPr>
        <w:t>Any document, including a complaint of discrimination, may be filed by any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By in-person delivery to the agency office during set office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regular or certified 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fax. For fax transmissions, the sender may be billed a reasonable fee for each page in excess of five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By electronic mail to the agency-established electronic mail address.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on which any document is deemed to be filed with the agency is determined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the date of in-person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document received by U.S. mail will be filed as of the mailing date pursuant to subrule </w:t>
      </w:r>
      <w:hyperlink r:id="rId6">
        <w:r>
          <w:rPr>
            <w:rStyle w:val="Hyperlink"/>
            <w:rFonts w:ascii="Times New Roman" w:hAnsi="Times New Roman"/>
            <w:b w:val="false"/>
            <w:i w:val="false"/>
            <w:color w:val="000000"/>
            <w:sz w:val="22"/>
          </w:rPr>
          <w:t>3.14(3)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document received by fax will be filed as of the date shown on the face of the fax.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document received by electronic mail will be filed as of the date received.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 “The undersigned certifies under penalty of perjury and pursuant to the laws of Iowa that, on (date of mailing), I mailed copies of (describe document) addressed to the Iowa Office of Civil Rights, 6200 Park Avenue, Suite 100, Des Moines, Iowa 50321, and to the names and addresses of the persons listed below by depositing a copy thereof (in a United States post office mailbox with correct postage properly affixed or state interoffice mail). (Date)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3.14(4)</w:t>
      </w:r>
      <w:r>
        <w:rPr>
          <w:rFonts w:ascii="Times New Roman" w:hAnsi="Times New Roman"/>
          <w:b w:val="false"/>
          <w:i w:val="false"/>
          <w:color w:val="000000"/>
          <w:sz w:val="22"/>
        </w:rPr>
        <w:t> </w:t>
      </w:r>
      <w:r>
        <w:rPr>
          <w:rFonts w:ascii="Times New Roman" w:hAnsi="Times New Roman"/>
          <w:b w:val="false"/>
          <w:i/>
          <w:color w:val="000000"/>
          <w:sz w:val="22"/>
        </w:rPr>
        <w:t xml:space="preserve">Conflict among proofs of mailing. </w:t>
      </w:r>
      <w:r>
        <w:rPr>
          <w:rFonts w:ascii="Times New Roman" w:hAnsi="Times New Roman"/>
          <w:b w:val="false"/>
          <w:i w:val="false"/>
          <w:color w:val="000000"/>
          <w:sz w:val="22"/>
        </w:rPr>
        <w:t>The date of mailing is the date shown by the postmark. In the absence of a legible postmark, the date of mailing is the date shown by the postage meter mark. In the absence of both a legible postmark and a legible postage meter mark, the date of mailing is the date shown by the affidavit, certificate, or certification of mailing.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161—3.15</w:t>
      </w:r>
      <w:r>
        <w:rPr>
          <w:rFonts w:ascii="Times New Roman" w:hAnsi="Times New Roman"/>
          <w:b w:val="false"/>
          <w:i w:val="false"/>
          <w:color w:val="000000"/>
          <w:sz w:val="22"/>
        </w:rPr>
        <w:t xml:space="preserve"> to </w:t>
      </w:r>
      <w:r>
        <w:rPr>
          <w:rFonts w:ascii="Times New Roman" w:hAnsi="Times New Roman"/>
          <w:b/>
          <w:i w:val="false"/>
          <w:color w:val="000000"/>
          <w:sz w:val="22"/>
        </w:rPr>
        <w:t>3.25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161—3.26</w:t>
      </w:r>
      <w:r>
        <w:rPr>
          <w:rFonts w:ascii="Times New Roman" w:hAnsi="Times New Roman"/>
          <w:b/>
          <w:i w:val="false"/>
          <w:color w:val="000000"/>
          <w:sz w:val="22"/>
        </w:rPr>
        <w:t xml:space="preserve">(216) </w:t>
      </w:r>
      <w:r>
        <w:rPr>
          <w:rFonts w:ascii="Times New Roman" w:hAnsi="Times New Roman"/>
          <w:b/>
          <w:i w:val="false"/>
          <w:color w:val="000000"/>
          <w:sz w:val="22"/>
        </w:rPr>
        <w:t xml:space="preserve">Initial investigation of complaint—tier one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val="false"/>
          <w:color w:val="000000"/>
          <w:sz w:val="22"/>
        </w:rPr>
        <w:t>Questionnaire. After receipt of a complaint, the agency may mail to the parties written questionnaires. Complainant and respondent may provide responses in person, by mail or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val="false"/>
          <w:color w:val="000000"/>
          <w:sz w:val="22"/>
        </w:rPr>
        <w:t>Responses to the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Questionnaire responses can include written position statements. Questionnaire responses must be accompanied by supportive evidence. Attorney arguments are not considered admissible evidence. Supportive evidence should address the complainant’s allegations and how individuals similarly situated to the complainant were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Questionnaire responses are due 30 days from the mailing of the questionnaire. One oral or written request extension of 30 days or less will be granted on an informal basis without notice to the non-requesting party. A party may assume the first 30-day extension request is approved, unless otherwise notified. Any further request for extension may be subject to review by the executive director or designee and will be granted upon a showing of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val="false"/>
          <w:color w:val="000000"/>
          <w:sz w:val="22"/>
        </w:rPr>
        <w:t>Failure to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A complaint may be administratively closed if a complainant fails to respond to questionnaires.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A complaint may proceed to further investigation if respondent fails to submit questionnaire responses with supportive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3.26(4)</w:t>
      </w:r>
      <w:r>
        <w:rPr>
          <w:rFonts w:ascii="Times New Roman" w:hAnsi="Times New Roman"/>
          <w:b w:val="false"/>
          <w:i w:val="false"/>
          <w:color w:val="000000"/>
          <w:sz w:val="22"/>
        </w:rPr>
        <w:t> </w:t>
      </w:r>
      <w:r>
        <w:rPr>
          <w:rFonts w:ascii="Times New Roman" w:hAnsi="Times New Roman"/>
          <w:b w:val="false"/>
          <w:i w:val="false"/>
          <w:color w:val="000000"/>
          <w:sz w:val="22"/>
        </w:rPr>
        <w:t xml:space="preserve">Suggested procedure in answering questionnaires will be provided in the cover letter to the questionnaires.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3.26(5)</w:t>
      </w:r>
      <w:r>
        <w:rPr>
          <w:rFonts w:ascii="Times New Roman" w:hAnsi="Times New Roman"/>
          <w:b w:val="false"/>
          <w:i w:val="false"/>
          <w:color w:val="000000"/>
          <w:sz w:val="22"/>
        </w:rPr>
        <w:t> </w:t>
      </w:r>
      <w:r>
        <w:rPr>
          <w:rFonts w:ascii="Times New Roman" w:hAnsi="Times New Roman"/>
          <w:b w:val="false"/>
          <w:i w:val="false"/>
          <w:color w:val="000000"/>
          <w:sz w:val="22"/>
        </w:rPr>
        <w:t>The tier one investigation process will determine whether further investigation is needed. If further investigation is not warranted, the complaint will be administratively closed. Further processing is warranted when the submitted information indicates a reasonable possibility of a probable cause determination or the legal issues in the complaint need development. Respondent’s failure to respond to the agency’s request for response may also result in referral to a tier two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3.26(6)</w:t>
      </w:r>
      <w:r>
        <w:rPr>
          <w:rFonts w:ascii="Times New Roman" w:hAnsi="Times New Roman"/>
          <w:b w:val="false"/>
          <w:i w:val="false"/>
          <w:color w:val="000000"/>
          <w:sz w:val="22"/>
        </w:rPr>
        <w:t> </w:t>
      </w:r>
      <w:r>
        <w:rPr>
          <w:rFonts w:ascii="Times New Roman" w:hAnsi="Times New Roman"/>
          <w:b w:val="false"/>
          <w:i w:val="false"/>
          <w:color w:val="000000"/>
          <w:sz w:val="22"/>
        </w:rPr>
        <w:t>The agency may issue a request for information for the investigation after the issuance of the tier one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161—3.27</w:t>
      </w:r>
      <w:r>
        <w:rPr>
          <w:rFonts w:ascii="Times New Roman" w:hAnsi="Times New Roman"/>
          <w:b w:val="false"/>
          <w:i w:val="false"/>
          <w:color w:val="000000"/>
          <w:sz w:val="22"/>
        </w:rPr>
        <w:t xml:space="preserve"> to </w:t>
      </w:r>
      <w:r>
        <w:rPr>
          <w:rFonts w:ascii="Times New Roman" w:hAnsi="Times New Roman"/>
          <w:b/>
          <w:i w:val="false"/>
          <w:color w:val="000000"/>
          <w:sz w:val="22"/>
        </w:rPr>
        <w:t>3.31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161—3.32</w:t>
      </w:r>
      <w:r>
        <w:rPr>
          <w:rFonts w:ascii="Times New Roman" w:hAnsi="Times New Roman"/>
          <w:b/>
          <w:i w:val="false"/>
          <w:color w:val="000000"/>
          <w:sz w:val="22"/>
        </w:rPr>
        <w:t xml:space="preserve">(216) </w:t>
      </w:r>
      <w:r>
        <w:rPr>
          <w:rFonts w:ascii="Times New Roman" w:hAnsi="Times New Roman"/>
          <w:b/>
          <w:i w:val="false"/>
          <w:color w:val="000000"/>
          <w:sz w:val="22"/>
        </w:rPr>
        <w:t xml:space="preserve">Secondary investigative process—tier two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tier one determination concludes further investigation is warranted, the complaint shall be referred to designated staff for further investigation of the allegations of illegal discrimination, known as a tier two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val="false"/>
          <w:color w:val="000000"/>
          <w:sz w:val="22"/>
        </w:rPr>
        <w:t>Staff shall review any documents submitted in response to a request for information and any other documentation submitted by the parties prior to the initiation of the tier two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investigator, further steps may be taken, including party or witness interviews or the issuance of additional information requests or subpoenas.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161—3.33</w:t>
      </w:r>
      <w:r>
        <w:rPr>
          <w:rFonts w:ascii="Times New Roman" w:hAnsi="Times New Roman"/>
          <w:b/>
          <w:i w:val="false"/>
          <w:color w:val="000000"/>
          <w:sz w:val="22"/>
        </w:rPr>
        <w:t xml:space="preserve">(216) </w:t>
      </w:r>
      <w:r>
        <w:rPr>
          <w:rFonts w:ascii="Times New Roman" w:hAnsi="Times New Roman"/>
          <w:b/>
          <w:i w:val="false"/>
          <w:color w:val="000000"/>
          <w:sz w:val="22"/>
        </w:rPr>
        <w:t xml:space="preserve">Conclusion of investigation. </w:t>
      </w:r>
      <w:r>
        <w:rPr>
          <w:rFonts w:ascii="Times New Roman" w:hAnsi="Times New Roman"/>
          <w:b w:val="false"/>
          <w:i w:val="false"/>
          <w:color w:val="000000"/>
          <w:sz w:val="22"/>
        </w:rPr>
        <w:t>Following the conclusion of a tier two investigation, staff may issue an investigative report that may include findings of fact and legal analysis. The report will result in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investigative closure,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probable cause or no probable cause recommendation to an administrative law judge, or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no jurisdiction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161—3.34</w:t>
      </w:r>
      <w:r>
        <w:rPr>
          <w:rFonts w:ascii="Times New Roman" w:hAnsi="Times New Roman"/>
          <w:b w:val="false"/>
          <w:i w:val="false"/>
          <w:color w:val="000000"/>
          <w:sz w:val="22"/>
        </w:rPr>
        <w:t xml:space="preserve"> and </w:t>
      </w:r>
      <w:r>
        <w:rPr>
          <w:rFonts w:ascii="Times New Roman" w:hAnsi="Times New Roman"/>
          <w:b/>
          <w:i w:val="false"/>
          <w:color w:val="000000"/>
          <w:sz w:val="22"/>
        </w:rPr>
        <w:t>3.35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161—3.36</w:t>
      </w:r>
      <w:r>
        <w:rPr>
          <w:rFonts w:ascii="Times New Roman" w:hAnsi="Times New Roman"/>
          <w:b/>
          <w:i w:val="false"/>
          <w:color w:val="000000"/>
          <w:sz w:val="22"/>
        </w:rPr>
        <w:t xml:space="preserve">(216) </w:t>
      </w:r>
      <w:r>
        <w:rPr>
          <w:rFonts w:ascii="Times New Roman" w:hAnsi="Times New Roman"/>
          <w:b/>
          <w:i w:val="false"/>
          <w:color w:val="000000"/>
          <w:sz w:val="22"/>
        </w:rPr>
        <w:t xml:space="preserve">Protective orders. </w:t>
      </w:r>
      <w:r>
        <w:rPr>
          <w:rFonts w:ascii="Times New Roman" w:hAnsi="Times New Roman"/>
          <w:b w:val="false"/>
          <w:i w:val="false"/>
          <w:color w:val="000000"/>
          <w:sz w:val="22"/>
        </w:rPr>
        <w:t xml:space="preserve">The executive director or designee shall have the authority to issue protective orders in case files when necessary.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161—3.37</w:t>
      </w:r>
      <w:r>
        <w:rPr>
          <w:rFonts w:ascii="Times New Roman" w:hAnsi="Times New Roman"/>
          <w:b/>
          <w:i w:val="false"/>
          <w:color w:val="000000"/>
          <w:sz w:val="22"/>
        </w:rPr>
        <w:t xml:space="preserve">(216) </w:t>
      </w:r>
      <w:r>
        <w:rPr>
          <w:rFonts w:ascii="Times New Roman" w:hAnsi="Times New Roman"/>
          <w:b/>
          <w:i w:val="false"/>
          <w:color w:val="000000"/>
          <w:sz w:val="22"/>
        </w:rPr>
        <w:t xml:space="preserve">Investigative 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 </w:t>
      </w:r>
      <w:r>
        <w:rPr>
          <w:rFonts w:ascii="Times New Roman" w:hAnsi="Times New Roman"/>
          <w:b w:val="false"/>
          <w:i w:val="false"/>
          <w:color w:val="000000"/>
          <w:sz w:val="22"/>
        </w:rPr>
        <w:t xml:space="preserve">This rule applies to subpoenas served before a notice of contested case hearing pursuant to rule </w:t>
      </w:r>
      <w:hyperlink r:id="rId7">
        <w:r>
          <w:rPr>
            <w:rStyle w:val="Hyperlink"/>
            <w:rFonts w:ascii="Times New Roman" w:hAnsi="Times New Roman"/>
            <w:b w:val="false"/>
            <w:i w:val="false"/>
            <w:color w:val="000000"/>
            <w:sz w:val="22"/>
          </w:rPr>
          <w:t>161—4.2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color w:val="000000"/>
          <w:sz w:val="22"/>
        </w:rPr>
        <w:t xml:space="preserve">Prior to notice of hearing. </w:t>
      </w:r>
      <w:r>
        <w:rPr>
          <w:rFonts w:ascii="Times New Roman" w:hAnsi="Times New Roman"/>
          <w:b w:val="false"/>
          <w:i w:val="false"/>
          <w:color w:val="000000"/>
          <w:sz w:val="22"/>
        </w:rPr>
        <w:t xml:space="preserve">Subpoenas may be issued by the executive director or designee before a notice of a contested case hearing. Only the agency has the right to demand issuance of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3.37(3)</w:t>
      </w:r>
      <w:r>
        <w:rPr>
          <w:rFonts w:ascii="Times New Roman" w:hAnsi="Times New Roman"/>
          <w:b w:val="false"/>
          <w:i w:val="false"/>
          <w:color w:val="000000"/>
          <w:sz w:val="22"/>
        </w:rPr>
        <w:t> </w:t>
      </w:r>
      <w:r>
        <w:rPr>
          <w:rFonts w:ascii="Times New Roman" w:hAnsi="Times New Roman"/>
          <w:b w:val="false"/>
          <w:i/>
          <w:color w:val="000000"/>
          <w:sz w:val="22"/>
        </w:rPr>
        <w:t xml:space="preserve">Timing before subpoena is issued. </w:t>
      </w:r>
      <w:r>
        <w:rPr>
          <w:rFonts w:ascii="Times New Roman" w:hAnsi="Times New Roman"/>
          <w:b w:val="false"/>
          <w:i w:val="false"/>
          <w:color w:val="000000"/>
          <w:sz w:val="22"/>
        </w:rPr>
        <w:t>Where a person fails to provide requested information pursuant to the initial information request or subsequent information requests, a subpoena may be issued. A subpoena may be issued not less than seven days after the initial information request or subsequent information requests have been delivered to the person having possession, custody, or control of the requested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3.37(4)</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 </w:t>
      </w:r>
      <w:r>
        <w:rPr>
          <w:rFonts w:ascii="Times New Roman" w:hAnsi="Times New Roman"/>
          <w:b w:val="false"/>
          <w:i w:val="false"/>
          <w:color w:val="000000"/>
          <w:sz w:val="22"/>
        </w:rPr>
        <w:t xml:space="preserve">Every subpoena shall state the name of the agency and the purpose for which the subpoena is issued. The subpoena shall be directed to a specific person; the person’s attorney; or an officer, partner, or managing agent of any entity that is not a natural person. The subpoena for the unknown person having possession, custody, or control of the requested material or real evidence may be directed to the “custodian of records.” The subpoena shall command the person to whom it is directed to produce designated books, papers, or other real evidence in the possession, custody, or control of that person at a specified time and place.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3.37(5)</w:t>
      </w:r>
      <w:r>
        <w:rPr>
          <w:rFonts w:ascii="Times New Roman" w:hAnsi="Times New Roman"/>
          <w:b w:val="false"/>
          <w:i w:val="false"/>
          <w:color w:val="000000"/>
          <w:sz w:val="22"/>
        </w:rPr>
        <w:t> </w:t>
      </w:r>
      <w:r>
        <w:rPr>
          <w:rFonts w:ascii="Times New Roman" w:hAnsi="Times New Roman"/>
          <w:b w:val="false"/>
          <w:i/>
          <w:color w:val="000000"/>
          <w:sz w:val="22"/>
        </w:rPr>
        <w:t xml:space="preserve">Method and proof of service. </w:t>
      </w:r>
      <w:r>
        <w:rPr>
          <w:rFonts w:ascii="Times New Roman" w:hAnsi="Times New Roman"/>
          <w:b w:val="false"/>
          <w:i w:val="false"/>
          <w:color w:val="000000"/>
          <w:sz w:val="22"/>
        </w:rPr>
        <w:t>Personal service will be accomplished pursuant to Iowa Rule of Civil Procedure 1.1701(3). Proof of service is by acknowledgment of receipt by the person served or by the affidavit of the person who served the subpoena. Failure to file proof of service does not affect the validity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3.37(6)</w:t>
      </w:r>
      <w:r>
        <w:rPr>
          <w:rFonts w:ascii="Times New Roman" w:hAnsi="Times New Roman"/>
          <w:b w:val="false"/>
          <w:i w:val="false"/>
          <w:color w:val="000000"/>
          <w:sz w:val="22"/>
        </w:rPr>
        <w:t> </w:t>
      </w:r>
      <w:r>
        <w:rPr>
          <w:rFonts w:ascii="Times New Roman" w:hAnsi="Times New Roman"/>
          <w:b w:val="false"/>
          <w:i/>
          <w:color w:val="000000"/>
          <w:sz w:val="22"/>
        </w:rPr>
        <w:t xml:space="preserve">Objections to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intends not to comply with any part of a subpoena shall promptly petition the executive director to revoke or modify the subpoena. The petition shall separately identify each portion of the subpoena and provide the grounds upon which the petitioner does not intend to comply. A copy of the subpoena shall be attached to the petition. The agency shall mail the final determination of the petition by the executive director or designee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grounds for subpoena modification or revocation are met if the subpoena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within the statutory authority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reasonably specific;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Unduly burdensome;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 reasonably relevant to matters under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petition to revoke or modify a subpoena should be captioned “Motion to Quash” or “Petition to Modify/Revoke Subpoena” and include the agency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3.37(7)</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an individual fails to comply with a subpoena, the executive director or designee may authorize the filing of a petition for enforcement in the district court.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3.37(8)</w:t>
      </w:r>
      <w:r>
        <w:rPr>
          <w:rFonts w:ascii="Times New Roman" w:hAnsi="Times New Roman"/>
          <w:b w:val="false"/>
          <w:i w:val="false"/>
          <w:color w:val="000000"/>
          <w:sz w:val="22"/>
        </w:rPr>
        <w:t> </w:t>
      </w:r>
      <w:r>
        <w:rPr>
          <w:rFonts w:ascii="Times New Roman" w:hAnsi="Times New Roman"/>
          <w:b w:val="false"/>
          <w:i/>
          <w:color w:val="000000"/>
          <w:sz w:val="22"/>
        </w:rPr>
        <w:t xml:space="preserve">Open public records law. </w:t>
      </w:r>
      <w:r>
        <w:rPr>
          <w:rFonts w:ascii="Times New Roman" w:hAnsi="Times New Roman"/>
          <w:b w:val="false"/>
          <w:i w:val="false"/>
          <w:color w:val="000000"/>
          <w:sz w:val="22"/>
        </w:rPr>
        <w:t xml:space="preserve">The status of a record as a confidential public record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does not affect the authority of the agency to subpoena and compel the production of that record.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161—3.38</w:t>
      </w:r>
      <w:r>
        <w:rPr>
          <w:rFonts w:ascii="Times New Roman" w:hAnsi="Times New Roman"/>
          <w:b/>
          <w:i w:val="false"/>
          <w:color w:val="000000"/>
          <w:sz w:val="22"/>
        </w:rPr>
        <w:t xml:space="preserve">(216) </w:t>
      </w:r>
      <w:r>
        <w:rPr>
          <w:rFonts w:ascii="Times New Roman" w:hAnsi="Times New Roman"/>
          <w:b/>
          <w:i w:val="false"/>
          <w:color w:val="000000"/>
          <w:sz w:val="22"/>
        </w:rPr>
        <w:t xml:space="preserve">Postinvestigation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3.38(1)</w:t>
      </w:r>
      <w:r>
        <w:rPr>
          <w:rFonts w:ascii="Times New Roman" w:hAnsi="Times New Roman"/>
          <w:b w:val="false"/>
          <w:i w:val="false"/>
          <w:color w:val="000000"/>
          <w:sz w:val="22"/>
        </w:rPr>
        <w:t> </w:t>
      </w:r>
      <w:r>
        <w:rPr>
          <w:rFonts w:ascii="Times New Roman" w:hAnsi="Times New Roman"/>
          <w:b w:val="false"/>
          <w:i w:val="false"/>
          <w:color w:val="000000"/>
          <w:sz w:val="22"/>
        </w:rPr>
        <w:t>If a case file is sent to an administrative law judge for a probable cause or no probable cause determination, all parties will be notified of the outcome by written order.  The agency will mail the order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3.38(2)</w:t>
      </w:r>
      <w:r>
        <w:rPr>
          <w:rFonts w:ascii="Times New Roman" w:hAnsi="Times New Roman"/>
          <w:b w:val="false"/>
          <w:i w:val="false"/>
          <w:color w:val="000000"/>
          <w:sz w:val="22"/>
        </w:rPr>
        <w:t> </w:t>
      </w:r>
      <w:r>
        <w:rPr>
          <w:rFonts w:ascii="Times New Roman" w:hAnsi="Times New Roman"/>
          <w:b w:val="false"/>
          <w:i w:val="false"/>
          <w:color w:val="000000"/>
          <w:sz w:val="22"/>
        </w:rPr>
        <w:t>Where the administrative law judge rejects the recommendation of agency staff, the reasons shall be stated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161—3.39</w:t>
      </w:r>
      <w:r>
        <w:rPr>
          <w:rFonts w:ascii="Times New Roman" w:hAnsi="Times New Roman"/>
          <w:b/>
          <w:i w:val="false"/>
          <w:color w:val="000000"/>
          <w:sz w:val="22"/>
        </w:rPr>
        <w:t xml:space="preserve">(216) </w:t>
      </w:r>
      <w:r>
        <w:rPr>
          <w:rFonts w:ascii="Times New Roman" w:hAnsi="Times New Roman"/>
          <w:b/>
          <w:i w:val="false"/>
          <w:color w:val="000000"/>
          <w:sz w:val="22"/>
        </w:rPr>
        <w:t xml:space="preserve">Postprobable cause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w:t>
      </w:r>
      <w:r>
        <w:rPr>
          <w:rFonts w:ascii="Times New Roman" w:hAnsi="Times New Roman"/>
          <w:b w:val="false"/>
          <w:i w:val="false"/>
          <w:color w:val="000000"/>
          <w:sz w:val="22"/>
        </w:rPr>
        <w:t> </w:t>
      </w:r>
      <w:r>
        <w:rPr>
          <w:rFonts w:ascii="Times New Roman" w:hAnsi="Times New Roman"/>
          <w:b w:val="false"/>
          <w:i w:val="false"/>
          <w:color w:val="000000"/>
          <w:sz w:val="22"/>
        </w:rPr>
        <w:t>If the administrative law judge makes a probable cause determination, a staff member shall be assigned to attempt resolution of the case through conciliation. All parties shall be notified of the time and date of any 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will work with the complainant or complainant’s attorney to formulate an initial offer. The 30-day conciliation period begins when the offer of settlement is communicated to the respondent or respondent’s attorney.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3.39(3)</w:t>
      </w:r>
      <w:r>
        <w:rPr>
          <w:rFonts w:ascii="Times New Roman" w:hAnsi="Times New Roman"/>
          <w:b w:val="false"/>
          <w:i w:val="false"/>
          <w:color w:val="000000"/>
          <w:sz w:val="22"/>
        </w:rPr>
        <w:t> </w:t>
      </w:r>
      <w:r>
        <w:rPr>
          <w:rFonts w:ascii="Times New Roman" w:hAnsi="Times New Roman"/>
          <w:b w:val="false"/>
          <w:i w:val="false"/>
          <w:color w:val="000000"/>
          <w:sz w:val="22"/>
        </w:rPr>
        <w:t>The conciliation agreement is effective only after the agreement has been signed by all parties and the executive director or designee on behalf of the agency.  A copy of the agreement shall be mailed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3.39(4)</w:t>
      </w:r>
      <w:r>
        <w:rPr>
          <w:rFonts w:ascii="Times New Roman" w:hAnsi="Times New Roman"/>
          <w:b w:val="false"/>
          <w:i w:val="false"/>
          <w:color w:val="000000"/>
          <w:sz w:val="22"/>
        </w:rPr>
        <w:t> </w:t>
      </w:r>
      <w:r>
        <w:rPr>
          <w:rFonts w:ascii="Times New Roman" w:hAnsi="Times New Roman"/>
          <w:b w:val="false"/>
          <w:i w:val="false"/>
          <w:color w:val="000000"/>
          <w:sz w:val="22"/>
        </w:rPr>
        <w:t>To ensure compliance with a conciliation agreement, the agency shall take appropriate action to ensure compliance, including the filing of an action in district court seeking specific performance of the terms of the conciliation agreement or other remedies that may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3.39(5)</w:t>
      </w:r>
      <w:r>
        <w:rPr>
          <w:rFonts w:ascii="Times New Roman" w:hAnsi="Times New Roman"/>
          <w:b w:val="false"/>
          <w:i w:val="false"/>
          <w:color w:val="000000"/>
          <w:sz w:val="22"/>
        </w:rPr>
        <w:t> </w:t>
      </w:r>
      <w:r>
        <w:rPr>
          <w:rFonts w:ascii="Times New Roman" w:hAnsi="Times New Roman"/>
          <w:b w:val="false"/>
          <w:i w:val="false"/>
          <w:color w:val="000000"/>
          <w:sz w:val="22"/>
        </w:rPr>
        <w:t>A respondent may not request reconsideration of a finding of probable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161—3.40</w:t>
      </w:r>
      <w:r>
        <w:rPr>
          <w:rFonts w:ascii="Times New Roman" w:hAnsi="Times New Roman"/>
          <w:b w:val="false"/>
          <w:i w:val="false"/>
          <w:color w:val="000000"/>
          <w:sz w:val="22"/>
        </w:rPr>
        <w:t xml:space="preserve"> to </w:t>
      </w:r>
      <w:r>
        <w:rPr>
          <w:rFonts w:ascii="Times New Roman" w:hAnsi="Times New Roman"/>
          <w:b/>
          <w:i w:val="false"/>
          <w:color w:val="000000"/>
          <w:sz w:val="22"/>
        </w:rPr>
        <w:t>3.42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161—3.43</w:t>
      </w:r>
      <w:r>
        <w:rPr>
          <w:rFonts w:ascii="Times New Roman" w:hAnsi="Times New Roman"/>
          <w:b/>
          <w:i w:val="false"/>
          <w:color w:val="000000"/>
          <w:sz w:val="22"/>
        </w:rPr>
        <w:t xml:space="preserve">(216) </w:t>
      </w:r>
      <w:r>
        <w:rPr>
          <w:rFonts w:ascii="Times New Roman" w:hAnsi="Times New Roman"/>
          <w:b/>
          <w:i w:val="false"/>
          <w:color w:val="000000"/>
          <w:sz w:val="22"/>
        </w:rPr>
        <w:t xml:space="preserve">Alternatives to agency process—administrative release/right-to-sue.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w:t>
      </w:r>
      <w:r>
        <w:rPr>
          <w:rFonts w:ascii="Times New Roman" w:hAnsi="Times New Roman"/>
          <w:b w:val="false"/>
          <w:i w:val="false"/>
          <w:color w:val="000000"/>
          <w:sz w:val="22"/>
        </w:rPr>
        <w:t> </w:t>
      </w:r>
      <w:r>
        <w:rPr>
          <w:rFonts w:ascii="Times New Roman" w:hAnsi="Times New Roman"/>
          <w:b w:val="false"/>
          <w:i/>
          <w:color w:val="000000"/>
          <w:sz w:val="22"/>
        </w:rPr>
        <w:t xml:space="preserve">Issuance of right-to-sue letter. </w:t>
      </w:r>
      <w:r>
        <w:rPr>
          <w:rFonts w:ascii="Times New Roman" w:hAnsi="Times New Roman"/>
          <w:b w:val="false"/>
          <w:i w:val="false"/>
          <w:color w:val="000000"/>
          <w:sz w:val="22"/>
        </w:rPr>
        <w:t xml:space="preserve">For a right-to-sue letter to be issued, the request must be submitted in writing by the complainant or the complainant’s attorney and include the corresponding state and federal case numbers. After a right-to-sue letter has been issued, the case shall be administratively closed.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issuance of right-to-sue. </w:t>
      </w:r>
      <w:r>
        <w:rPr>
          <w:rFonts w:ascii="Times New Roman" w:hAnsi="Times New Roman"/>
          <w:b w:val="false"/>
          <w:i w:val="false"/>
          <w:color w:val="000000"/>
          <w:sz w:val="22"/>
        </w:rPr>
        <w:t>A right-to-sue letter will not be issued where the agency has determined the complaint is not jurisdictional.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3.43(3)</w:t>
      </w:r>
      <w:r>
        <w:rPr>
          <w:rFonts w:ascii="Times New Roman" w:hAnsi="Times New Roman"/>
          <w:b w:val="false"/>
          <w:i w:val="false"/>
          <w:color w:val="000000"/>
          <w:sz w:val="22"/>
        </w:rPr>
        <w:t> </w:t>
      </w:r>
      <w:r>
        <w:rPr>
          <w:rFonts w:ascii="Times New Roman" w:hAnsi="Times New Roman"/>
          <w:b w:val="false"/>
          <w:i/>
          <w:color w:val="000000"/>
          <w:sz w:val="22"/>
        </w:rPr>
        <w:t xml:space="preserve">Erroneous right-to-sue. </w:t>
      </w:r>
      <w:r>
        <w:rPr>
          <w:rFonts w:ascii="Times New Roman" w:hAnsi="Times New Roman"/>
          <w:b w:val="false"/>
          <w:i w:val="false"/>
          <w:color w:val="000000"/>
          <w:sz w:val="22"/>
        </w:rPr>
        <w:t>If the right-to-sue letter was issued erroneously, the right-to-sue letter will be deemed void and the case file reopened if the error is discovered within 90 days after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161—3.44</w:t>
      </w:r>
      <w:r>
        <w:rPr>
          <w:rFonts w:ascii="Times New Roman" w:hAnsi="Times New Roman"/>
          <w:b w:val="false"/>
          <w:i w:val="false"/>
          <w:color w:val="000000"/>
          <w:sz w:val="22"/>
        </w:rPr>
        <w:t xml:space="preserve"> and </w:t>
      </w:r>
      <w:r>
        <w:rPr>
          <w:rFonts w:ascii="Times New Roman" w:hAnsi="Times New Roman"/>
          <w:b/>
          <w:i w:val="false"/>
          <w:color w:val="000000"/>
          <w:sz w:val="22"/>
        </w:rPr>
        <w:t>3.45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161—3.46</w:t>
      </w:r>
      <w:r>
        <w:rPr>
          <w:rFonts w:ascii="Times New Roman" w:hAnsi="Times New Roman"/>
          <w:b/>
          <w:i w:val="false"/>
          <w:color w:val="000000"/>
          <w:sz w:val="22"/>
        </w:rPr>
        <w:t xml:space="preserve">(216) </w:t>
      </w:r>
      <w:r>
        <w:rPr>
          <w:rFonts w:ascii="Times New Roman" w:hAnsi="Times New Roman"/>
          <w:b/>
          <w:i w:val="false"/>
          <w:color w:val="000000"/>
          <w:sz w:val="22"/>
        </w:rPr>
        <w:t xml:space="preserve">Withdrawal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color w:val="000000"/>
          <w:sz w:val="22"/>
        </w:rPr>
        <w:t xml:space="preserve">Withdrawal of complaint. </w:t>
      </w:r>
      <w:r>
        <w:rPr>
          <w:rFonts w:ascii="Times New Roman" w:hAnsi="Times New Roman"/>
          <w:b w:val="false"/>
          <w:i w:val="false"/>
          <w:color w:val="000000"/>
          <w:sz w:val="22"/>
        </w:rPr>
        <w:t>A complainant may withdraw any part of a complaint prior to notice of a contested case hearing. After notice of a contested hearing, a complainant may only withdraw a complaint or any part of a complaint at the administrative law judge’s discretion. The agency may continue investigating where deemed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color w:val="000000"/>
          <w:sz w:val="22"/>
        </w:rPr>
        <w:t xml:space="preserve">Reopening of a withdrawn complaint. </w:t>
      </w:r>
      <w:r>
        <w:rPr>
          <w:rFonts w:ascii="Times New Roman" w:hAnsi="Times New Roman"/>
          <w:b w:val="false"/>
          <w:i w:val="false"/>
          <w:color w:val="000000"/>
          <w:sz w:val="22"/>
        </w:rPr>
        <w:t>A complainant may request their withdrawn complaint be reopened within 90 days after closure, only if the agency finds that the request for withdrawal was either not filed voluntarily or was filed as a result of a mistake concerning the effect of the request for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color w:val="000000"/>
          <w:sz w:val="22"/>
        </w:rPr>
        <w:t xml:space="preserve">Withdrawal as a term of settlement. </w:t>
      </w:r>
      <w:r>
        <w:rPr>
          <w:rFonts w:ascii="Times New Roman" w:hAnsi="Times New Roman"/>
          <w:b w:val="false"/>
          <w:i w:val="false"/>
          <w:color w:val="000000"/>
          <w:sz w:val="22"/>
        </w:rPr>
        <w:t>If the withdrawal is filed pursuant to a conciliation, mediation or other settlement agreement, the complainant is barred from applying for reopening on the ground the agreement was not voluntary, unless the district court has first determined the settlement agreement is invalid.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161—3.47</w:t>
      </w:r>
      <w:r>
        <w:rPr>
          <w:rFonts w:ascii="Times New Roman" w:hAnsi="Times New Roman"/>
          <w:b/>
          <w:i w:val="false"/>
          <w:color w:val="000000"/>
          <w:sz w:val="22"/>
        </w:rPr>
        <w:t xml:space="preserve">(216) </w:t>
      </w:r>
      <w:r>
        <w:rPr>
          <w:rFonts w:ascii="Times New Roman" w:hAnsi="Times New Roman"/>
          <w:b/>
          <w:i w:val="false"/>
          <w:color w:val="000000"/>
          <w:sz w:val="22"/>
        </w:rPr>
        <w:t xml:space="preserve">Periodic review and administrative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3.47(1)</w:t>
      </w:r>
      <w:r>
        <w:rPr>
          <w:rFonts w:ascii="Times New Roman" w:hAnsi="Times New Roman"/>
          <w:b w:val="false"/>
          <w:i w:val="false"/>
          <w:color w:val="000000"/>
          <w:sz w:val="22"/>
        </w:rPr>
        <w:t> </w:t>
      </w:r>
      <w:r>
        <w:rPr>
          <w:rFonts w:ascii="Times New Roman" w:hAnsi="Times New Roman"/>
          <w:b w:val="false"/>
          <w:i/>
          <w:color w:val="000000"/>
          <w:sz w:val="22"/>
        </w:rPr>
        <w:t xml:space="preserve">Periodic evaluation of evidence. </w:t>
      </w:r>
      <w:r>
        <w:rPr>
          <w:rFonts w:ascii="Times New Roman" w:hAnsi="Times New Roman"/>
          <w:b w:val="false"/>
          <w:i w:val="false"/>
          <w:color w:val="000000"/>
          <w:sz w:val="22"/>
        </w:rPr>
        <w:t xml:space="preserve">The executive director or designee may periodically review the complaint to determine whether further processing is warranted. When the periodic review occurs prior to the determination of probable cause, then the tier one standard in subrule </w:t>
      </w:r>
      <w:hyperlink r:id="rId9">
        <w:r>
          <w:rPr>
            <w:rStyle w:val="Hyperlink"/>
            <w:rFonts w:ascii="Times New Roman" w:hAnsi="Times New Roman"/>
            <w:b w:val="false"/>
            <w:i w:val="false"/>
            <w:color w:val="000000"/>
            <w:sz w:val="22"/>
          </w:rPr>
          <w:t>3.26(5)</w:t>
        </w:r>
      </w:hyperlink>
      <w:r>
        <w:rPr>
          <w:rFonts w:ascii="Times New Roman" w:hAnsi="Times New Roman"/>
          <w:b w:val="false"/>
          <w:i w:val="false"/>
          <w:color w:val="000000"/>
          <w:sz w:val="22"/>
        </w:rPr>
        <w:t xml:space="preserve"> applies. A complaint determined to not warrant further processing shall be administratively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3.47(2)</w:t>
      </w:r>
      <w:r>
        <w:rPr>
          <w:rFonts w:ascii="Times New Roman" w:hAnsi="Times New Roman"/>
          <w:b w:val="false"/>
          <w:i w:val="false"/>
          <w:color w:val="000000"/>
          <w:sz w:val="22"/>
        </w:rPr>
        <w:t> </w:t>
      </w:r>
      <w:r>
        <w:rPr>
          <w:rFonts w:ascii="Times New Roman" w:hAnsi="Times New Roman"/>
          <w:b w:val="false"/>
          <w:i/>
          <w:color w:val="000000"/>
          <w:sz w:val="22"/>
        </w:rPr>
        <w:t xml:space="preserve">Uncooperative complainant. </w:t>
      </w:r>
      <w:r>
        <w:rPr>
          <w:rFonts w:ascii="Times New Roman" w:hAnsi="Times New Roman"/>
          <w:b w:val="false"/>
          <w:i w:val="false"/>
          <w:color w:val="000000"/>
          <w:sz w:val="22"/>
        </w:rPr>
        <w:t>A case file may be administratively closed at any time if the complainant cannot be contacted after diligent efforts or is uncooperative, causing unreasonable delay in the processing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3.47(3)</w:t>
      </w:r>
      <w:r>
        <w:rPr>
          <w:rFonts w:ascii="Times New Roman" w:hAnsi="Times New Roman"/>
          <w:b w:val="false"/>
          <w:i w:val="false"/>
          <w:color w:val="000000"/>
          <w:sz w:val="22"/>
        </w:rPr>
        <w:t> </w:t>
      </w:r>
      <w:r>
        <w:rPr>
          <w:rFonts w:ascii="Times New Roman" w:hAnsi="Times New Roman"/>
          <w:b w:val="false"/>
          <w:i/>
          <w:color w:val="000000"/>
          <w:sz w:val="22"/>
        </w:rPr>
        <w:t xml:space="preserve">Involuntary satisfactory adjustment. </w:t>
      </w:r>
      <w:r>
        <w:rPr>
          <w:rFonts w:ascii="Times New Roman" w:hAnsi="Times New Roman"/>
          <w:b w:val="false"/>
          <w:i w:val="false"/>
          <w:color w:val="000000"/>
          <w:sz w:val="22"/>
        </w:rPr>
        <w:t xml:space="preserve">A case file may be closed as satisfactorily adjusted when the respondent has made an offer of settlement acceptable to the executive director or designee but not to the complainant. Notice of intended closure shall state reasons for closure and be mailed to the complainant. The complainant is allowed 30 days to provide the written reasons why the case file should remain open. The executive director or designee will review the response and notify the complainant of the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3.47(4)</w:t>
      </w:r>
      <w:r>
        <w:rPr>
          <w:rFonts w:ascii="Times New Roman" w:hAnsi="Times New Roman"/>
          <w:b w:val="false"/>
          <w:i w:val="false"/>
          <w:color w:val="000000"/>
          <w:sz w:val="22"/>
        </w:rPr>
        <w:t> </w:t>
      </w:r>
      <w:r>
        <w:rPr>
          <w:rFonts w:ascii="Times New Roman" w:hAnsi="Times New Roman"/>
          <w:b w:val="false"/>
          <w:i/>
          <w:color w:val="000000"/>
          <w:sz w:val="22"/>
        </w:rPr>
        <w:t xml:space="preserve">Frivolous complaints. </w:t>
      </w:r>
      <w:r>
        <w:rPr>
          <w:rFonts w:ascii="Times New Roman" w:hAnsi="Times New Roman"/>
          <w:b w:val="false"/>
          <w:i w:val="false"/>
          <w:color w:val="000000"/>
          <w:sz w:val="22"/>
        </w:rPr>
        <w:t xml:space="preserve">Following jurisdictional review, the executive director may determine a complaint is frivolous and does not warrant further processing. The executive director shall only make this determination in rare circumstances and shall report the number of occurrences in the annual report. If a case file is closed pursuant to this subrule, the complainant may request a right-to-sue letter pursuant to the terms of Iowa Code section </w:t>
      </w:r>
      <w:hyperlink r:id="rId10">
        <w:r>
          <w:rPr>
            <w:rStyle w:val="Hyperlink"/>
            <w:rFonts w:ascii="Times New Roman" w:hAnsi="Times New Roman"/>
            <w:b w:val="false"/>
            <w:i w:val="false"/>
            <w:color w:val="000000"/>
            <w:sz w:val="22"/>
          </w:rPr>
          <w:t>216.16 </w:t>
        </w:r>
      </w:hyperlink>
      <w:r>
        <w:rPr>
          <w:rFonts w:ascii="Times New Roman" w:hAnsi="Times New Roman"/>
          <w:b w:val="false"/>
          <w:i w:val="false"/>
          <w:color w:val="000000"/>
          <w:sz w:val="22"/>
        </w:rPr>
        <w:t>and these rules. This rule does not apply to complaints that are eligible for cross-filing with the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3.47(5)</w:t>
      </w:r>
      <w:r>
        <w:rPr>
          <w:rFonts w:ascii="Times New Roman" w:hAnsi="Times New Roman"/>
          <w:b w:val="false"/>
          <w:i w:val="false"/>
          <w:color w:val="000000"/>
          <w:sz w:val="22"/>
        </w:rPr>
        <w:t> </w:t>
      </w:r>
      <w:r>
        <w:rPr>
          <w:rFonts w:ascii="Times New Roman" w:hAnsi="Times New Roman"/>
          <w:b w:val="false"/>
          <w:i/>
          <w:color w:val="000000"/>
          <w:sz w:val="22"/>
        </w:rPr>
        <w:t xml:space="preserve">Litigation review. </w:t>
      </w:r>
      <w:r>
        <w:rPr>
          <w:rFonts w:ascii="Times New Roman" w:hAnsi="Times New Roman"/>
          <w:b w:val="false"/>
          <w:i w:val="false"/>
          <w:color w:val="000000"/>
          <w:sz w:val="22"/>
        </w:rPr>
        <w:t xml:space="preserve">The complaint may be administratively closed after a probable cause determination has been made when it is determined that the record does not justify proceeding to a public hearing. A complainant may not request to reopen their case file when the file was administratively closed following litigation review.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161—3.48</w:t>
      </w:r>
      <w:r>
        <w:rPr>
          <w:rFonts w:ascii="Times New Roman" w:hAnsi="Times New Roman"/>
          <w:b w:val="false"/>
          <w:i w:val="false"/>
          <w:color w:val="000000"/>
          <w:sz w:val="22"/>
        </w:rPr>
        <w:t xml:space="preserve"> and </w:t>
      </w:r>
      <w:r>
        <w:rPr>
          <w:rFonts w:ascii="Times New Roman" w:hAnsi="Times New Roman"/>
          <w:b/>
          <w:i w:val="false"/>
          <w:color w:val="000000"/>
          <w:sz w:val="22"/>
        </w:rPr>
        <w:t>3.49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161—3.50</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 to reopen.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3.50(1)</w:t>
      </w:r>
      <w:r>
        <w:rPr>
          <w:rFonts w:ascii="Times New Roman" w:hAnsi="Times New Roman"/>
          <w:b w:val="false"/>
          <w:i w:val="false"/>
          <w:color w:val="000000"/>
          <w:sz w:val="22"/>
        </w:rPr>
        <w:t> </w:t>
      </w:r>
      <w:r>
        <w:rPr>
          <w:rFonts w:ascii="Times New Roman" w:hAnsi="Times New Roman"/>
          <w:b w:val="false"/>
          <w:i/>
          <w:color w:val="000000"/>
          <w:sz w:val="22"/>
        </w:rPr>
        <w:t xml:space="preserve">Request for reopening of case file within 30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following the notice of the conclusion of the investigation, a party can file an intra-agency appeal. The party shall state the reasons in writing for appeal and submit any additional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shall notify all parties upon receipt of any intra-agency appeal. All parties shall have 14 days to provide any response to the appeal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days of intra-agency appeal, the director or designee shall review the appeal. The director or designee shall affirm, modify, or reverse the agency decision, and remand if necessary. If the case file is remanded, the director or designee shall transfer the case file to investigative staff for further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3.50(2)</w:t>
      </w:r>
      <w:r>
        <w:rPr>
          <w:rFonts w:ascii="Times New Roman" w:hAnsi="Times New Roman"/>
          <w:b w:val="false"/>
          <w:i w:val="false"/>
          <w:color w:val="000000"/>
          <w:sz w:val="22"/>
        </w:rPr>
        <w:t> </w:t>
      </w:r>
      <w:r>
        <w:rPr>
          <w:rFonts w:ascii="Times New Roman" w:hAnsi="Times New Roman"/>
          <w:b w:val="false"/>
          <w:i/>
          <w:color w:val="000000"/>
          <w:sz w:val="22"/>
        </w:rPr>
        <w:t xml:space="preserve">Reopening of an administratively closed case file after 30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reopen a case file at any time a right-to-sue letter could have been issued under Iowa Code section </w:t>
      </w:r>
      <w:hyperlink r:id="rId11">
        <w:r>
          <w:rPr>
            <w:rStyle w:val="Hyperlink"/>
            <w:rFonts w:ascii="Times New Roman" w:hAnsi="Times New Roman"/>
            <w:b w:val="false"/>
            <w:i w:val="false"/>
            <w:color w:val="000000"/>
            <w:sz w:val="22"/>
          </w:rPr>
          <w:t>216.16(3)</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provided in these rules, and where the closure was affected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False, fraudulent, or material misrepresentation of information provided to the agency concerning a material issue in the case file by the respondent, a witness, or some other person who is not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Error by the agency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or designee shall consider the information discovered under subparagraphs </w:t>
      </w:r>
      <w:hyperlink r:id="rId12">
        <w:r>
          <w:rPr>
            <w:rStyle w:val="Hyperlink"/>
            <w:rFonts w:ascii="Times New Roman" w:hAnsi="Times New Roman"/>
            <w:b w:val="false"/>
            <w:i w:val="false"/>
            <w:color w:val="000000"/>
            <w:sz w:val="22"/>
          </w:rPr>
          <w:t>3.50(2)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3.50(2)</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determine whether the complaint requires further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further action is necessary, the parties or their attorneys shall be notified of the reopening of the case file. If requested by the agency, the parties shall have 30 days to submit their written positions regarding the alleged new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3.50(3)</w:t>
      </w:r>
      <w:r>
        <w:rPr>
          <w:rFonts w:ascii="Times New Roman" w:hAnsi="Times New Roman"/>
          <w:b w:val="false"/>
          <w:i w:val="false"/>
          <w:color w:val="000000"/>
          <w:sz w:val="22"/>
        </w:rPr>
        <w:t> </w:t>
      </w:r>
      <w:r>
        <w:rPr>
          <w:rFonts w:ascii="Times New Roman" w:hAnsi="Times New Roman"/>
          <w:b w:val="false"/>
          <w:i/>
          <w:color w:val="000000"/>
          <w:sz w:val="22"/>
        </w:rPr>
        <w:t xml:space="preserve">No probable cause determination reopening. </w:t>
      </w:r>
      <w:r>
        <w:rPr>
          <w:rFonts w:ascii="Times New Roman" w:hAnsi="Times New Roman"/>
          <w:b w:val="false"/>
          <w:i w:val="false"/>
          <w:color w:val="000000"/>
          <w:sz w:val="22"/>
        </w:rPr>
        <w:t>The agency may reopen a case file within one year of a no probable cause determination where the determination was affected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perpetrated upon the agency by some person who is not the complainant;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 misrepresentations.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3.50(4)</w:t>
      </w:r>
      <w:r>
        <w:rPr>
          <w:rFonts w:ascii="Times New Roman" w:hAnsi="Times New Roman"/>
          <w:b w:val="false"/>
          <w:i w:val="false"/>
          <w:color w:val="000000"/>
          <w:sz w:val="22"/>
        </w:rPr>
        <w:t> </w:t>
      </w:r>
      <w:r>
        <w:rPr>
          <w:rFonts w:ascii="Times New Roman" w:hAnsi="Times New Roman"/>
          <w:b w:val="false"/>
          <w:i/>
          <w:color w:val="000000"/>
          <w:sz w:val="22"/>
        </w:rPr>
        <w:t xml:space="preserve">Reopening from breach of settlement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breaches a settlement agreement, the aggrieved party may seek redress with the agency or in district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aggrieved party seeks agency engagement, that party has 90 days from the time of an alleged breach of a settlement agreement to request the case file be reopened to continue the investigative process, but only if all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is not a party to the settlement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requesting party agrees the settlement agreement is null and void;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party waives and releases any rights to seek specific performance or damages for the alleged breach in district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parties shall be notified that a request for reopening has been made. A copy of the request for reopening shall be provided to all parties. The parties shall be afforded no less than 14 days and no more than 30 days to submit their written position and any supporting documents regarding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or designee shall determine if the agreement has been breached or the nonrequesting party failed to negotiate the agreement in good faith. If it is determined that a material breach occurred, the parties or their attorneys shall be notified of the reopening of the case file and the case file will be referred for further processing.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161—3.51</w:t>
      </w:r>
      <w:r>
        <w:rPr>
          <w:rFonts w:ascii="Times New Roman" w:hAnsi="Times New Roman"/>
          <w:b w:val="false"/>
          <w:i w:val="false"/>
          <w:color w:val="000000"/>
          <w:sz w:val="22"/>
        </w:rPr>
        <w:t xml:space="preserve"> to </w:t>
      </w:r>
      <w:r>
        <w:rPr>
          <w:rFonts w:ascii="Times New Roman" w:hAnsi="Times New Roman"/>
          <w:b/>
          <w:i w:val="false"/>
          <w:color w:val="000000"/>
          <w:sz w:val="22"/>
        </w:rPr>
        <w:t>3.55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161—3.56</w:t>
      </w:r>
      <w:r>
        <w:rPr>
          <w:rFonts w:ascii="Times New Roman" w:hAnsi="Times New Roman"/>
          <w:b/>
          <w:i w:val="false"/>
          <w:color w:val="000000"/>
          <w:sz w:val="22"/>
        </w:rPr>
        <w:t xml:space="preserve">(216) </w:t>
      </w:r>
      <w:r>
        <w:rPr>
          <w:rFonts w:ascii="Times New Roman" w:hAnsi="Times New Roman"/>
          <w:b/>
          <w:i w:val="false"/>
          <w:color w:val="000000"/>
          <w:sz w:val="22"/>
        </w:rPr>
        <w:t xml:space="preserve">Access to file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val="false"/>
          <w:color w:val="000000"/>
          <w:sz w:val="22"/>
        </w:rPr>
        <w:t>Disclosure of the existence or contents of a case file is prohibited,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filing an appeal in district court of a final action, parties and their attorneys may access their case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case has been set for a contested case hearing and notice has been mailed, parties and their attorneys may access their case file through discovery pursuant to rule </w:t>
      </w:r>
      <w:hyperlink r:id="rId14">
        <w:r>
          <w:rPr>
            <w:rStyle w:val="Hyperlink"/>
            <w:rFonts w:ascii="Times New Roman" w:hAnsi="Times New Roman"/>
            <w:b w:val="false"/>
            <w:i w:val="false"/>
            <w:color w:val="000000"/>
            <w:sz w:val="22"/>
          </w:rPr>
          <w:t>161—4.7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and their attorneys may access the case file upon appeal of a decision rendered by an administrative law judge in a contested case. The introduction of documents into evidence from a case file during a contested case hearing does not waive the confidentiality of other documents within that case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val="false"/>
          <w:color w:val="000000"/>
          <w:sz w:val="22"/>
        </w:rPr>
        <w:t xml:space="preserve">Attorneys seeking access to case files must provide written notification of representation.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161—3.57</w:t>
      </w:r>
      <w:r>
        <w:rPr>
          <w:rFonts w:ascii="Times New Roman" w:hAnsi="Times New Roman"/>
          <w:b/>
          <w:i w:val="false"/>
          <w:color w:val="000000"/>
          <w:sz w:val="22"/>
        </w:rPr>
        <w:t xml:space="preserve">(216) </w:t>
      </w:r>
      <w:r>
        <w:rPr>
          <w:rFonts w:ascii="Times New Roman" w:hAnsi="Times New Roman"/>
          <w:b/>
          <w:i w:val="false"/>
          <w:color w:val="000000"/>
          <w:sz w:val="22"/>
        </w:rPr>
        <w:t xml:space="preserve">Miscellaneous.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color w:val="000000"/>
          <w:sz w:val="22"/>
        </w:rPr>
        <w:t xml:space="preserve">Conflicts prohibited. </w:t>
      </w:r>
      <w:r>
        <w:rPr>
          <w:rFonts w:ascii="Times New Roman" w:hAnsi="Times New Roman"/>
          <w:b w:val="false"/>
          <w:i w:val="false"/>
          <w:color w:val="000000"/>
          <w:sz w:val="22"/>
        </w:rPr>
        <w:t xml:space="preserve">The administrative law judge designated to issue a determination will not serve as administrative law judge in the contested case hearing for the same case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color w:val="000000"/>
          <w:sz w:val="22"/>
        </w:rPr>
        <w:t xml:space="preserve">Injunctions. </w:t>
      </w:r>
      <w:r>
        <w:rPr>
          <w:rFonts w:ascii="Times New Roman" w:hAnsi="Times New Roman"/>
          <w:b w:val="false"/>
          <w:i w:val="false"/>
          <w:color w:val="000000"/>
          <w:sz w:val="22"/>
        </w:rPr>
        <w:t>If the executive director determines that a complainant may be irreparably injured before a contested case hearing, the executive director or designee may direct an attorney for the agency to seek appropriate injunctive relief to preserve the rights of the complainant and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8198C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4/20/72, amended 7/9/74, 10/7/74, 3/14/75]</w:t>
      </w:r>
    </w:p>
    <w:p>
      <w:pPr>
        <w:spacing w:before="0" w:after="0"/>
        <w:ind w:left="120"/>
        <w:jc w:val="center"/>
      </w:pPr>
      <w:r>
        <w:rPr>
          <w:rFonts w:ascii="Times New Roman" w:hAnsi="Times New Roman"/>
          <w:b w:val="false"/>
          <w:i w:val="false"/>
          <w:color w:val="000000"/>
          <w:sz w:val="21"/>
        </w:rPr>
        <w:t>[Amendment filed 9/29/75, Notice 7/28/75—published 10/6/75, effective 11/10/75]</w:t>
      </w:r>
    </w:p>
    <w:p>
      <w:pPr>
        <w:spacing w:before="0" w:after="0"/>
        <w:ind w:left="120"/>
        <w:jc w:val="center"/>
      </w:pPr>
      <w:r>
        <w:rPr>
          <w:rFonts w:ascii="Times New Roman" w:hAnsi="Times New Roman"/>
          <w:b w:val="false"/>
          <w:i w:val="false"/>
          <w:color w:val="000000"/>
          <w:sz w:val="21"/>
        </w:rPr>
        <w:t>[Filed 3/11/76, Notice 12/29/75—published 4/5/76, effective 5/10/76]</w:t>
      </w:r>
    </w:p>
    <w:p>
      <w:pPr>
        <w:spacing w:before="0" w:after="0"/>
        <w:ind w:left="120"/>
        <w:jc w:val="center"/>
      </w:pPr>
      <w:r>
        <w:rPr>
          <w:rFonts w:ascii="Times New Roman" w:hAnsi="Times New Roman"/>
          <w:b w:val="false"/>
          <w:i w:val="false"/>
          <w:color w:val="000000"/>
          <w:sz w:val="21"/>
        </w:rPr>
        <w:t>[Filed 2/20/78, Notices 12/14/77, 1/11/78—published 3/22/78, effective 4/26/78]</w:t>
      </w:r>
    </w:p>
    <w:p>
      <w:pPr>
        <w:spacing w:before="0" w:after="0"/>
        <w:ind w:left="120"/>
        <w:jc w:val="center"/>
      </w:pPr>
      <w:r>
        <w:rPr>
          <w:rFonts w:ascii="Times New Roman" w:hAnsi="Times New Roman"/>
          <w:b w:val="false"/>
          <w:i w:val="false"/>
          <w:color w:val="000000"/>
          <w:sz w:val="21"/>
        </w:rPr>
        <w:t>[Filed emergency 11/20/78—published 12/13/78, effective 1/1/79]</w:t>
      </w:r>
    </w:p>
    <w:p>
      <w:pPr>
        <w:spacing w:before="0" w:after="0"/>
        <w:ind w:left="120"/>
        <w:jc w:val="center"/>
      </w:pPr>
      <w:r>
        <w:rPr>
          <w:rFonts w:ascii="Times New Roman" w:hAnsi="Times New Roman"/>
          <w:b w:val="false"/>
          <w:i w:val="false"/>
          <w:color w:val="000000"/>
          <w:sz w:val="21"/>
        </w:rPr>
        <w:t>[Filed 3/28/79, Notices 12/13/78, 1/10/79—published 4/18/79, effective 5/23/79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4/9/81, Notice 1/7/81—published 4/29/81, effective 6/3/81]</w:t>
      </w:r>
    </w:p>
    <w:p>
      <w:pPr>
        <w:spacing w:before="0" w:after="0"/>
        <w:ind w:left="120"/>
        <w:jc w:val="center"/>
      </w:pPr>
      <w:r>
        <w:rPr>
          <w:rFonts w:ascii="Times New Roman" w:hAnsi="Times New Roman"/>
          <w:b w:val="false"/>
          <w:i w:val="false"/>
          <w:color w:val="000000"/>
          <w:sz w:val="21"/>
        </w:rPr>
        <w:t>[Filed 7/31/81, Notice 6/10/81—published 8/19/81, effective 9/23/81]</w:t>
      </w:r>
    </w:p>
    <w:p>
      <w:pPr>
        <w:spacing w:before="0" w:after="0"/>
        <w:ind w:left="120"/>
        <w:jc w:val="center"/>
      </w:pPr>
      <w:r>
        <w:rPr>
          <w:rFonts w:ascii="Times New Roman" w:hAnsi="Times New Roman"/>
          <w:b w:val="false"/>
          <w:i w:val="false"/>
          <w:color w:val="000000"/>
          <w:sz w:val="21"/>
        </w:rPr>
        <w:t>[Filed 1/28/82, Notice 11/11/81—published 2/17/82, effective 3/24/82]</w:t>
      </w:r>
    </w:p>
    <w:p>
      <w:pPr>
        <w:spacing w:before="0" w:after="0"/>
        <w:ind w:left="120"/>
        <w:jc w:val="center"/>
      </w:pPr>
      <w:r>
        <w:rPr>
          <w:rFonts w:ascii="Times New Roman" w:hAnsi="Times New Roman"/>
          <w:b w:val="false"/>
          <w:i w:val="false"/>
          <w:color w:val="000000"/>
          <w:sz w:val="21"/>
        </w:rPr>
        <w:t>[Filed 3/23/84, Notice 12/21/83—published 4/11/84, effective 5/16/84]</w:t>
      </w:r>
    </w:p>
    <w:p>
      <w:pPr>
        <w:spacing w:before="0" w:after="0"/>
        <w:ind w:left="120"/>
        <w:jc w:val="center"/>
      </w:pPr>
      <w:r>
        <w:rPr>
          <w:rFonts w:ascii="Times New Roman" w:hAnsi="Times New Roman"/>
          <w:b w:val="false"/>
          <w:i w:val="false"/>
          <w:color w:val="000000"/>
          <w:sz w:val="21"/>
        </w:rPr>
        <w:t>[Filed 3/28/85, Notice 12/5/84—published 4/24/85, effective 5/29/85]</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2/6/91, Notice 11/14/90—published 3/6/91, effective 4/10/91]</w:t>
      </w:r>
    </w:p>
    <w:p>
      <w:pPr>
        <w:spacing w:before="0" w:after="0"/>
        <w:ind w:left="120"/>
        <w:jc w:val="center"/>
      </w:pPr>
      <w:r>
        <w:rPr>
          <w:rFonts w:ascii="Times New Roman" w:hAnsi="Times New Roman"/>
          <w:b w:val="false"/>
          <w:i w:val="false"/>
          <w:color w:val="000000"/>
          <w:sz w:val="21"/>
        </w:rPr>
        <w:t>[Filed 1/29/93, Notice 11/25/92—published 2/17/93, effective 3/24/93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8/13/93 after Notice 6/23/93—published 9/1/93, effective 8/13/93]</w:t>
      </w:r>
    </w:p>
    <w:p>
      <w:pPr>
        <w:spacing w:before="0" w:after="0"/>
        <w:ind w:left="120"/>
        <w:jc w:val="center"/>
      </w:pPr>
      <w:r>
        <w:rPr>
          <w:rFonts w:ascii="Times New Roman" w:hAnsi="Times New Roman"/>
          <w:b w:val="false"/>
          <w:i w:val="false"/>
          <w:color w:val="000000"/>
          <w:sz w:val="21"/>
        </w:rPr>
        <w:t>[Filed 9/21/94, Notice 7/20/94—published 10/12/94, effective 11/16/94]</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emergency 2/22/06 after Notice 1/4/06—published 3/15/06, effective 2/22/06]</w:t>
      </w:r>
    </w:p>
    <w:p>
      <w:pPr>
        <w:spacing w:before="0" w:after="0"/>
        <w:ind w:left="120"/>
        <w:jc w:val="center"/>
      </w:pPr>
      <w:r>
        <w:rPr>
          <w:rFonts w:ascii="Times New Roman" w:hAnsi="Times New Roman"/>
          <w:b w:val="false"/>
          <w:i w:val="false"/>
          <w:color w:val="000000"/>
          <w:sz w:val="21"/>
        </w:rPr>
        <w:t>[Filed 6/23/06, Notice 1/4/06—published 7/19/06, effective 8/23/06]</w:t>
      </w:r>
    </w:p>
    <w:p>
      <w:pPr>
        <w:spacing w:before="0" w:after="0"/>
        <w:ind w:left="120"/>
        <w:jc w:val="center"/>
      </w:pPr>
      <w:r>
        <w:rPr>
          <w:rFonts w:ascii="Times New Roman" w:hAnsi="Times New Roman"/>
          <w:b w:val="false"/>
          <w:i w:val="false"/>
          <w:color w:val="000000"/>
          <w:sz w:val="21"/>
        </w:rPr>
        <w:t>[Filed ARC 8744B</w:t>
      </w:r>
      <w:r>
        <w:rPr>
          <w:rFonts w:ascii="Times New Roman" w:hAnsi="Times New Roman"/>
          <w:b w:val="false"/>
          <w:i w:val="false"/>
          <w:color w:val="000000"/>
          <w:sz w:val="21"/>
        </w:rPr>
        <w:t xml:space="preserve"> (Notice ARC 8573B,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8743B</w:t>
      </w:r>
      <w:r>
        <w:rPr>
          <w:rFonts w:ascii="Times New Roman" w:hAnsi="Times New Roman"/>
          <w:b w:val="false"/>
          <w:i w:val="false"/>
          <w:color w:val="000000"/>
          <w:sz w:val="21"/>
        </w:rPr>
        <w:t xml:space="preserve"> (Notice ARC 8571B,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8741B</w:t>
      </w:r>
      <w:r>
        <w:rPr>
          <w:rFonts w:ascii="Times New Roman" w:hAnsi="Times New Roman"/>
          <w:b w:val="false"/>
          <w:i w:val="false"/>
          <w:color w:val="000000"/>
          <w:sz w:val="21"/>
        </w:rPr>
        <w:t xml:space="preserve"> (Notice ARC 8569B,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8742B</w:t>
      </w:r>
      <w:r>
        <w:rPr>
          <w:rFonts w:ascii="Times New Roman" w:hAnsi="Times New Roman"/>
          <w:b w:val="false"/>
          <w:i w:val="false"/>
          <w:color w:val="000000"/>
          <w:sz w:val="21"/>
        </w:rPr>
        <w:t xml:space="preserve"> (Notice ARC 8570B,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8740B</w:t>
      </w:r>
      <w:r>
        <w:rPr>
          <w:rFonts w:ascii="Times New Roman" w:hAnsi="Times New Roman"/>
          <w:b w:val="false"/>
          <w:i w:val="false"/>
          <w:color w:val="000000"/>
          <w:sz w:val="21"/>
        </w:rPr>
        <w:t xml:space="preserve"> (Notice ARC 8568B,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8739B</w:t>
      </w:r>
      <w:r>
        <w:rPr>
          <w:rFonts w:ascii="Times New Roman" w:hAnsi="Times New Roman"/>
          <w:b w:val="false"/>
          <w:i w:val="false"/>
          <w:color w:val="000000"/>
          <w:sz w:val="21"/>
        </w:rPr>
        <w:t xml:space="preserve"> (Notice ARC 8566B,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8738B</w:t>
      </w:r>
      <w:r>
        <w:rPr>
          <w:rFonts w:ascii="Times New Roman" w:hAnsi="Times New Roman"/>
          <w:b w:val="false"/>
          <w:i w:val="false"/>
          <w:color w:val="000000"/>
          <w:sz w:val="21"/>
        </w:rPr>
        <w:t xml:space="preserve"> (Notice ARC 8567B,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8745B</w:t>
      </w:r>
      <w:r>
        <w:rPr>
          <w:rFonts w:ascii="Times New Roman" w:hAnsi="Times New Roman"/>
          <w:b w:val="false"/>
          <w:i w:val="false"/>
          <w:color w:val="000000"/>
          <w:sz w:val="21"/>
        </w:rPr>
        <w:t xml:space="preserve"> (Notice ARC 8574B,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8750B</w:t>
      </w:r>
      <w:r>
        <w:rPr>
          <w:rFonts w:ascii="Times New Roman" w:hAnsi="Times New Roman"/>
          <w:b w:val="false"/>
          <w:i w:val="false"/>
          <w:color w:val="000000"/>
          <w:sz w:val="21"/>
        </w:rPr>
        <w:t xml:space="preserve"> (Notice ARC 8565B,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8198C</w:t>
      </w:r>
      <w:r>
        <w:rPr>
          <w:rFonts w:ascii="Times New Roman" w:hAnsi="Times New Roman"/>
          <w:b w:val="false"/>
          <w:i w:val="false"/>
          <w:color w:val="000000"/>
          <w:sz w:val="21"/>
        </w:rPr>
        <w:t xml:space="preserve"> (Notice ARC 7312C, IAB 12/27/23)</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The Administrative Rules Review Committee at its May 21, 1979, meeting delayed the effective date of 240—subrules 1.1(7) to 1.1(9), 1.3(1), 1.8(2) and rules 1.16 and 1.17 70 days.</w:t>
      </w:r>
    </w:p>
    <w:p>
      <w:pPr>
        <w:pBdr>
          <w:bottom w:space="2"/>
        </w:pBdr>
        <w:spacing w:before="0" w:after="0"/>
        <w:ind w:left="120"/>
        <w:jc w:val="both"/>
      </w:pPr>
      <w:r>
        <w:rPr>
          <w:rFonts w:ascii="Times New Roman" w:hAnsi="Times New Roman"/>
          <w:b w:val="false"/>
          <w:i w:val="false"/>
          <w:color w:val="000000"/>
          <w:sz w:val="22"/>
        </w:rPr>
        <w:t>Effective date of 161—3.2(4), 3.2(5), 3.3(3), 3.4(216), 3.5(216), 3.7(3), 3.8(216), 3.10(216), 3.12(216), 3.13(8) to 3.13(10), 3.14(216) and 3.16(216) delayed 70 days by the Administrative Rules Review Committee at its meeting held March 9, 1993; delayed until adjournment of the 1994 Session of the General Assembly by this Committee May 11,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16.pdf" Type="http://schemas.openxmlformats.org/officeDocument/2006/relationships/hyperlink" Id="rId5"/>
    <Relationship TargetMode="External" Target="https://www.legis.iowa.gov/docs/iac/rule/161.3.14.pdf" Type="http://schemas.openxmlformats.org/officeDocument/2006/relationships/hyperlink" Id="rId6"/>
    <Relationship TargetMode="External" Target="https://www.legis.iowa.gov/docs/iac/rule/161.4.2.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161.3.26.pdf" Type="http://schemas.openxmlformats.org/officeDocument/2006/relationships/hyperlink" Id="rId9"/>
    <Relationship TargetMode="External" Target="https://www.legis.iowa.gov/docs/ico/chapter/216.16.pdf" Type="http://schemas.openxmlformats.org/officeDocument/2006/relationships/hyperlink" Id="rId10"/>
    <Relationship TargetMode="External" Target="https://www.legis.iowa.gov/docs/ico/chapter/216.16.pdf" Type="http://schemas.openxmlformats.org/officeDocument/2006/relationships/hyperlink" Id="rId11"/>
    <Relationship TargetMode="External" Target="https://www.legis.iowa.gov/docs/iac/rule/161.3.50.pdf" Type="http://schemas.openxmlformats.org/officeDocument/2006/relationships/hyperlink" Id="rId12"/>
    <Relationship TargetMode="External" Target="https://www.legis.iowa.gov/docs/iac/rule/161.3.50.pdf" Type="http://schemas.openxmlformats.org/officeDocument/2006/relationships/hyperlink" Id="rId13"/>
    <Relationship TargetMode="External" Target="https://www.legis.iowa.gov/docs/iac/rule/161.4.7.pdf" Type="http://schemas.openxmlformats.org/officeDocument/2006/relationships/hyperlink" Id="rId14"/>
    <Relationship TargetMode="External" Target="https://www.legis.iowa.gov/docs/ico/chapter/216.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