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161—11.1</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executive director, or a person lawfully delegated authority by the executive director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161—11.2</w:t>
      </w:r>
      <w:r>
        <w:rPr>
          <w:rFonts w:ascii="Times New Roman" w:hAnsi="Times New Roman"/>
          <w:b/>
          <w:i w:val="false"/>
          <w:color w:val="000000"/>
          <w:sz w:val="22"/>
        </w:rPr>
        <w:t xml:space="preserve">(17A,22,216)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161—11.3</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161—11.4</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161—11.5</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161—11.6</w:t>
      </w:r>
      <w:r>
        <w:rPr>
          <w:rFonts w:ascii="Times New Roman" w:hAnsi="Times New Roman"/>
          <w:b/>
          <w:i w:val="false"/>
          <w:color w:val="000000"/>
          <w:sz w:val="22"/>
        </w:rPr>
        <w:t xml:space="preserve">(17A,22,216)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161—11.7</w:t>
      </w:r>
      <w:r>
        <w:rPr>
          <w:rFonts w:ascii="Times New Roman" w:hAnsi="Times New Roman"/>
          <w:b/>
          <w:i w:val="false"/>
          <w:color w:val="000000"/>
          <w:sz w:val="22"/>
        </w:rPr>
        <w:t xml:space="preserve">(17A,22,216)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161—11.8</w:t>
      </w:r>
      <w:r>
        <w:rPr>
          <w:rFonts w:ascii="Times New Roman" w:hAnsi="Times New Roman"/>
          <w:b/>
          <w:i w:val="false"/>
          <w:color w:val="000000"/>
          <w:sz w:val="22"/>
        </w:rPr>
        <w:t xml:space="preserve">(17A,22,216)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161—11.9</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161—11.10</w:t>
      </w:r>
      <w:r>
        <w:rPr>
          <w:rFonts w:ascii="Times New Roman" w:hAnsi="Times New Roman"/>
          <w:b/>
          <w:i w:val="false"/>
          <w:color w:val="000000"/>
          <w:sz w:val="22"/>
        </w:rPr>
        <w:t xml:space="preserve">(17A,22,216)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161—11.11</w:t>
      </w:r>
      <w:r>
        <w:rPr>
          <w:rFonts w:ascii="Times New Roman" w:hAnsi="Times New Roman"/>
          <w:b/>
          <w:i w:val="false"/>
          <w:color w:val="000000"/>
          <w:sz w:val="22"/>
        </w:rPr>
        <w:t xml:space="preserve">(17A,22,216)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161—11.12</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161—11.13</w:t>
      </w:r>
      <w:r>
        <w:rPr>
          <w:rFonts w:ascii="Times New Roman" w:hAnsi="Times New Roman"/>
          <w:b/>
          <w:i w:val="false"/>
          <w:color w:val="000000"/>
          <w:sz w:val="22"/>
        </w:rPr>
        <w:t xml:space="preserve">(17A,22,216)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8">
        <w:r>
          <w:rPr>
            <w:rStyle w:val="Hyperlink"/>
            <w:rFonts w:ascii="Times New Roman" w:hAnsi="Times New Roman"/>
            <w:b w:val="false"/>
            <w:i w:val="false"/>
            <w:color w:val="000000"/>
            <w:sz w:val="22"/>
          </w:rPr>
          <w:t>161—11.1</w:t>
        </w:r>
      </w:hyperlink>
      <w:r>
        <w:rPr>
          <w:rFonts w:ascii="Times New Roman" w:hAnsi="Times New Roman"/>
          <w:b w:val="false"/>
          <w:i w:val="false"/>
          <w:color w:val="000000"/>
          <w:sz w:val="22"/>
        </w:rPr>
        <w:t xml:space="preserve">(17A,22,216). Unless otherwise stated, the authority for this office to maintain the record is provided by Iowa Code chapter </w:t>
      </w:r>
      <w:hyperlink r:id="rId9">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statutes governing the subject matter of the record, and the enabling statutes of the agency client, where applicable. The record systems maintained by the agency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Investigatory files. </w:t>
      </w:r>
      <w:r>
        <w:rPr>
          <w:rFonts w:ascii="Times New Roman" w:hAnsi="Times New Roman"/>
          <w:b w:val="false"/>
          <w:i w:val="false"/>
          <w:color w:val="000000"/>
          <w:sz w:val="22"/>
        </w:rPr>
        <w:t>These files or records contain information collected or generated by Iowa civil rights commission staff or commissioners relating to any step in the complaint process beginning with the consideration or contemplation of filing a complaint up to the issuance of a notice of public hearing. Most of these records are paper files. However, some case management records and other records are in computer form. Those files are commonly indexed by the name of the opposing party. Some files are indexed by subject matter, witness, agency or other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pleadings, briefs, depositions, discovery material, docket sheets, documents, general correspondence, attorney-client correspondence, attorneys’ notes, memoranda, research materials, witness information, investigation materials, information compiled under the direction of the attorney, and case management records. Most of these records are paper files. However, some case management records and other records are in computer form. The files are generally maintained by division and are commonly indexed by the name of the opposing party. Some files are indexed by subject matter, witness, agency, or other category.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State of Iowa files are a subpart of the complaint file system and contain general information on an individual or business including correspondence, investigative information, agency subpoenas, demands for information and responses. Work product information contained in the state of Iowa file is considered confidential.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Iowa civil rights commission and individual divisions maintain files containing information about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161—11.14</w:t>
      </w:r>
      <w:r>
        <w:rPr>
          <w:rFonts w:ascii="Times New Roman" w:hAnsi="Times New Roman"/>
          <w:b/>
          <w:i w:val="false"/>
          <w:color w:val="000000"/>
          <w:sz w:val="22"/>
        </w:rPr>
        <w:t xml:space="preserve">(17A,22,216)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11">
        <w:r>
          <w:rPr>
            <w:rStyle w:val="Hyperlink"/>
            <w:rFonts w:ascii="Times New Roman" w:hAnsi="Times New Roman"/>
            <w:b w:val="false"/>
            <w:i w:val="false"/>
            <w:color w:val="000000"/>
            <w:sz w:val="22"/>
          </w:rPr>
          <w:t>161—11.1</w:t>
        </w:r>
      </w:hyperlink>
      <w:r>
        <w:rPr>
          <w:rFonts w:ascii="Times New Roman" w:hAnsi="Times New Roman"/>
          <w:b w:val="false"/>
          <w:i w:val="false"/>
          <w:color w:val="000000"/>
          <w:sz w:val="22"/>
        </w:rPr>
        <w:t xml:space="preserve">(17A,22,216). The records listed may contain information about individuals. Unless otherwise designated, the authority for this office to maintain the record is provided by Iowa Code chapter </w:t>
      </w:r>
      <w:hyperlink r:id="rId12">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statutes governing the subject matter of the record. Those privileges may render some or all of the following information confidential whether or not asserted in the description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 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press releases, statistical reports, Iowa civil rights commission case reports and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Information in office manuals such as the investigator handbook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210" w:after="0"/>
        <w:ind w:left="120"/>
        <w:jc w:val="both"/>
      </w:pPr>
      <w:r>
        <w:rPr>
          <w:rFonts w:ascii="Times New Roman" w:hAnsi="Times New Roman"/>
          <w:b/>
          <w:i w:val="false"/>
          <w:color w:val="000000"/>
          <w:sz w:val="22"/>
        </w:rPr>
        <w:t>161—11.15</w:t>
      </w:r>
      <w:r>
        <w:rPr>
          <w:rFonts w:ascii="Times New Roman" w:hAnsi="Times New Roman"/>
          <w:b/>
          <w:i w:val="false"/>
          <w:color w:val="000000"/>
          <w:sz w:val="22"/>
        </w:rPr>
        <w:t xml:space="preserve">(17A,22,216)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data processing systems used by the agency compare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161—11.16</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161—11.17</w:t>
      </w:r>
      <w:r>
        <w:rPr>
          <w:rFonts w:ascii="Times New Roman" w:hAnsi="Times New Roman"/>
          <w:b/>
          <w:i w:val="false"/>
          <w:color w:val="000000"/>
          <w:sz w:val="22"/>
        </w:rPr>
        <w:t xml:space="preserve">(17A,22,216) </w:t>
      </w:r>
      <w:r>
        <w:rPr>
          <w:rFonts w:ascii="Times New Roman" w:hAnsi="Times New Roman"/>
          <w:b/>
          <w:i w:val="false"/>
          <w:color w:val="000000"/>
          <w:sz w:val="22"/>
        </w:rPr>
        <w:t xml:space="preserve">Access to file information. </w:t>
      </w:r>
      <w:r>
        <w:rPr>
          <w:rFonts w:ascii="Times New Roman" w:hAnsi="Times New Roman"/>
          <w:b w:val="false"/>
          <w:i w:val="false"/>
          <w:color w:val="000000"/>
          <w:sz w:val="22"/>
        </w:rPr>
        <w:t>Rescinded by 2026 Iowa Acts, Senate File 2463, section 4, effective July 1, 2026.</w:t>
      </w:r>
    </w:p>
    <w:p>
      <w:pPr>
        <w:spacing w:before="0" w:after="0"/>
        <w:ind w:left="120"/>
        <w:jc w:val="center"/>
      </w:pPr>
      <w:r>
        <w:rPr>
          <w:rFonts w:ascii="Times New Roman" w:hAnsi="Times New Roman"/>
          <w:b w:val="false"/>
          <w:i w:val="false"/>
          <w:color w:val="000000"/>
          <w:sz w:val="21"/>
        </w:rPr>
        <w:t>[Filed emergency 5/13/88—published 6/1/88, effective 7/1/88]</w:t>
      </w:r>
    </w:p>
    <w:p>
      <w:pPr>
        <w:spacing w:before="0" w:after="0"/>
        <w:ind w:left="120"/>
        <w:jc w:val="center"/>
      </w:pPr>
      <w:r>
        <w:rPr>
          <w:rFonts w:ascii="Times New Roman" w:hAnsi="Times New Roman"/>
          <w:b w:val="false"/>
          <w:i w:val="false"/>
          <w:color w:val="000000"/>
          <w:sz w:val="21"/>
        </w:rPr>
        <w:t>[Filed 12/22/89, Notice 6/14/89—published 1/10/90, effective 2/14/90]</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8733B</w:t>
      </w:r>
      <w:r>
        <w:rPr>
          <w:rFonts w:ascii="Times New Roman" w:hAnsi="Times New Roman"/>
          <w:b w:val="false"/>
          <w:i w:val="false"/>
          <w:color w:val="000000"/>
          <w:sz w:val="21"/>
        </w:rPr>
        <w:t xml:space="preserve"> (Notice ARC 8560B,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Effective date of 161—11.17(2), 11.17(4) and 11.17(5) delayed 70 days by the Administrative Rules Review Committee at its meeting held March 9, 1993; delayed until adjournment of the 1994 Session of the General Assembly by this Committee May 11, 1993.</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ac/rule/161.11.1.pdf" Type="http://schemas.openxmlformats.org/officeDocument/2006/relationships/hyperlink" Id="rId8"/>
    <Relationship TargetMode="External" Target="https://www.legis.iowa.gov/docs/ico/chapter/216.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rule/161.11.1.pdf" Type="http://schemas.openxmlformats.org/officeDocument/2006/relationships/hyperlink" Id="rId11"/>
    <Relationship TargetMode="External" Target="https://www.legis.iowa.gov/docs/ico/chapter/2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