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DISCRIMINATION IN PUBLIC ACCOMMODATIONS</w:t>
      </w:r>
    </w:p>
    <w:p>
      <w:pPr>
        <w:spacing w:before="0" w:after="0"/>
        <w:ind w:left="120"/>
        <w:jc w:val="center"/>
      </w:pPr>
      <w:r>
        <w:rPr>
          <w:rFonts w:ascii="Times New Roman" w:hAnsi="Times New Roman"/>
          <w:b w:val="false"/>
          <w:i w:val="false"/>
          <w:color w:val="000000"/>
          <w:sz w:val="14"/>
        </w:rPr>
        <w:t>[Prior to 1/13/88, see Civil Rights 240—Ch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161—10.1</w:t>
      </w:r>
      <w:r>
        <w:rPr>
          <w:rFonts w:ascii="Times New Roman" w:hAnsi="Times New Roman"/>
          <w:b/>
          <w:i w:val="false"/>
          <w:color w:val="000000"/>
          <w:sz w:val="22"/>
        </w:rPr>
        <w:t xml:space="preserve">(216) </w:t>
      </w:r>
      <w:r>
        <w:rPr>
          <w:rFonts w:ascii="Times New Roman" w:hAnsi="Times New Roman"/>
          <w:b/>
          <w:i w:val="false"/>
          <w:color w:val="000000"/>
          <w:sz w:val="22"/>
        </w:rPr>
        <w:t xml:space="preserve">Statement of purpose. </w:t>
      </w:r>
      <w:r>
        <w:rPr>
          <w:rFonts w:ascii="Times New Roman" w:hAnsi="Times New Roman"/>
          <w:b w:val="false"/>
          <w:i w:val="false"/>
          <w:color w:val="000000"/>
          <w:sz w:val="22"/>
        </w:rPr>
        <w:t>The commission’s purpose in adopting these rules is to provide guidelines on what actions or activities may produce a discriminatory impact in public accommodations.</w:t>
      </w:r>
    </w:p>
    <w:p>
      <w:pPr>
        <w:spacing w:before="0" w:after="0"/>
        <w:ind w:left="120"/>
        <w:jc w:val="both"/>
      </w:pPr>
      <w:r>
        <w:rPr>
          <w:rFonts w:ascii="Times New Roman" w:hAnsi="Times New Roman"/>
          <w:b/>
          <w:i w:val="false"/>
          <w:color w:val="000000"/>
          <w:sz w:val="22"/>
        </w:rPr>
        <w:t>161—10.2</w:t>
      </w:r>
      <w:r>
        <w:rPr>
          <w:rFonts w:ascii="Times New Roman" w:hAnsi="Times New Roman"/>
          <w:b/>
          <w:i w:val="false"/>
          <w:color w:val="000000"/>
          <w:sz w:val="22"/>
        </w:rPr>
        <w:t xml:space="preserve">(216) </w:t>
      </w:r>
      <w:r>
        <w:rPr>
          <w:rFonts w:ascii="Times New Roman" w:hAnsi="Times New Roman"/>
          <w:b/>
          <w:i w:val="false"/>
          <w:color w:val="000000"/>
          <w:sz w:val="22"/>
        </w:rPr>
        <w:t xml:space="preserve">Discrimination prohibited. </w:t>
      </w:r>
      <w:r>
        <w:rPr>
          <w:rFonts w:ascii="Times New Roman" w:hAnsi="Times New Roman"/>
          <w:b w:val="false"/>
          <w:i w:val="false"/>
          <w:color w:val="000000"/>
          <w:sz w:val="22"/>
        </w:rPr>
        <w:t>No person shall be discriminated against on the basis of race, creed, color, sex, sexual orientation, gender identity, national origin, religion or disability by any public accommodation by: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Providing any disposition, service, financial aid, or benefit to an individual which is different, or is provided in a different manner, from that provided to other members of the general public, except to reasonably accommodate a member of the protected classes who otherwise might be totally precluded from receiving a benefit, access to, or participation in a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Subjecting any individual to segregation or separate treatment in any matter related to that individual’s receipt of any disposition, service, financial aid, or benefit provided to other members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Restricting an individual in any way in the enjoyment of any advantage or privilege enjoyed by others receiving any disposition, service, financial aid, or benefit provided to other members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Treating an individual differently from others in determining whether that individual satisfies any admission, enrollment, quota, eligibility, membership, or other requirement or condition which individuals must meet in order to be provided any disposition, service, financial aid, function, or benefit available to other members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val="false"/>
          <w:color w:val="000000"/>
          <w:sz w:val="22"/>
        </w:rPr>
        <w:t>Denying an individual an opportunity to participate in a program through the provision of service or otherwise afford that individual an opportunity to do so which is different from that afforded to other members of the general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8744B</w:t>
      </w:r>
      <w:r>
        <w:rPr>
          <w:rFonts w:ascii="Times New Roman" w:hAnsi="Times New Roman"/>
          <w:b w:val="false"/>
          <w:i w:val="false"/>
          <w:color w:val="000000"/>
          <w:sz w:val="16"/>
        </w:rPr>
        <w:t>, IAB 5/5/10, effective 6/9/10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3/28/79, Notice 12/13/78—published 4/18/79, effective 5/23/79</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7/20/79—published 8/8/79, effective 7/20/79]</w:t>
      </w:r>
    </w:p>
    <w:p>
      <w:pPr>
        <w:spacing w:before="0" w:after="0"/>
        <w:ind w:left="120"/>
        <w:jc w:val="center"/>
      </w:pPr>
      <w:r>
        <w:rPr>
          <w:rFonts w:ascii="Times New Roman" w:hAnsi="Times New Roman"/>
          <w:b w:val="false"/>
          <w:i w:val="false"/>
          <w:color w:val="000000"/>
          <w:sz w:val="21"/>
        </w:rPr>
        <w:t>[Filed 2/27/80, Notice 8/8/79—published 3/19/80, effective 4/23/80]</w:t>
      </w:r>
    </w:p>
    <w:p>
      <w:pPr>
        <w:spacing w:before="0" w:after="0"/>
        <w:ind w:left="120"/>
        <w:jc w:val="center"/>
      </w:pPr>
      <w:r>
        <w:rPr>
          <w:rFonts w:ascii="Times New Roman" w:hAnsi="Times New Roman"/>
          <w:b w:val="false"/>
          <w:i w:val="false"/>
          <w:color w:val="000000"/>
          <w:sz w:val="21"/>
        </w:rPr>
        <w:t>[Filed 12/15/87, Notice 8/12/87—published 1/13/88, effective 2/17/88]</w:t>
      </w:r>
    </w:p>
    <w:p>
      <w:pPr>
        <w:spacing w:before="0" w:after="0"/>
        <w:ind w:left="120"/>
        <w:jc w:val="center"/>
      </w:pPr>
      <w:r>
        <w:rPr>
          <w:rFonts w:ascii="Times New Roman" w:hAnsi="Times New Roman"/>
          <w:b w:val="false"/>
          <w:i w:val="false"/>
          <w:color w:val="000000"/>
          <w:sz w:val="21"/>
        </w:rPr>
        <w:t>[Filed 1/29/93, Notice 11/25/92—published 2/17/93, effective 3/24/93]</w:t>
      </w:r>
    </w:p>
    <w:p>
      <w:pPr>
        <w:spacing w:before="0" w:after="0"/>
        <w:ind w:left="120"/>
        <w:jc w:val="center"/>
      </w:pPr>
      <w:r>
        <w:rPr>
          <w:rFonts w:ascii="Times New Roman" w:hAnsi="Times New Roman"/>
          <w:b w:val="false"/>
          <w:i w:val="false"/>
          <w:color w:val="000000"/>
          <w:sz w:val="21"/>
        </w:rPr>
        <w:t>[Filed ARC 8744B</w:t>
      </w:r>
      <w:r>
        <w:rPr>
          <w:rFonts w:ascii="Times New Roman" w:hAnsi="Times New Roman"/>
          <w:b w:val="false"/>
          <w:i w:val="false"/>
          <w:color w:val="000000"/>
          <w:sz w:val="21"/>
        </w:rPr>
        <w:t xml:space="preserve"> (Notice ARC 8573B, IAB 3/10/10)</w:t>
      </w:r>
      <w:r>
        <w:rPr>
          <w:rFonts w:ascii="Times New Roman" w:hAnsi="Times New Roman"/>
          <w:b w:val="false"/>
          <w:i w:val="false"/>
          <w:color w:val="000000"/>
          <w:sz w:val="21"/>
        </w:rPr>
        <w:t>, IAB 5/5/10, effective 6/9/10]</w:t>
      </w:r>
    </w:p>
    <w:p>
      <w:pPr>
        <w:pBdr>
          <w:bottom w:space="2"/>
        </w:pBdr>
        <w:spacing w:before="0" w:after="0"/>
        <w:ind w:left="120"/>
        <w:jc w:val="both"/>
      </w:pPr>
      <w:r>
        <w:rPr>
          <w:rFonts w:ascii="Times New Roman" w:hAnsi="Times New Roman"/>
          <w:b w:val="false"/>
          <w:i w:val="false"/>
          <w:color w:val="000000"/>
          <w:sz w:val="22"/>
        </w:rPr>
        <w:t>Effective date of Ch 7 delayed by the Administrative Rules Review Committee 70 days.</w:t>
      </w:r>
      <w:r>
        <w:br/>
      </w:r>
      <w:r>
        <w:rPr>
          <w:rFonts w:ascii="Times New Roman" w:hAnsi="Times New Roman"/>
          <w:b w:val="false"/>
          <w:i w:val="false"/>
          <w:color w:val="000000"/>
          <w:sz w:val="22"/>
        </w:rPr>
        <w:t>Effective date of 7.2(1) and 7.3 delayed by the Administrative Rules Review Committee until 45 days after convening of the next General Assembly.</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