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INFORMATION PRACTICES</w:t>
      </w:r>
    </w:p>
    <w:p>
      <w:pPr>
        <w:spacing w:before="0" w:after="0"/>
        <w:ind w:left="120"/>
        <w:jc w:val="center"/>
      </w:pPr>
      <w:r>
        <w:rPr>
          <w:rFonts w:ascii="Times New Roman" w:hAnsi="Times New Roman"/>
          <w:b w:val="false"/>
          <w:i w:val="false"/>
          <w:color w:val="000000"/>
          <w:sz w:val="14"/>
        </w:rPr>
        <w:t>[Prior to 3/30/94, see 210—Chapter 5]</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141—3.1</w:t>
      </w:r>
      <w:r>
        <w:rPr>
          <w:rFonts w:ascii="Times New Roman" w:hAnsi="Times New Roman"/>
          <w:b/>
          <w:i w:val="false"/>
          <w:color w:val="000000"/>
          <w:sz w:val="22"/>
        </w:rPr>
        <w:t xml:space="preserve">(2C,22)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office of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of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agency or a person lawfully delegated authority by the agency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this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8">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141—3.2</w:t>
      </w:r>
      <w:r>
        <w:rPr>
          <w:rFonts w:ascii="Times New Roman" w:hAnsi="Times New Roman"/>
          <w:b/>
          <w:i w:val="false"/>
          <w:color w:val="000000"/>
          <w:sz w:val="22"/>
        </w:rPr>
        <w:t xml:space="preserve">(2C,22)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This chapter implements Iowa Code section </w:t>
      </w:r>
      <w:hyperlink r:id="rId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agency policies and procedures for the maintenance of records and access to records. The purpose of this chapter is to facilitate public access to open records and to guide agency determinations with respect to the handling of confidential records and the implementation of the Iowa fair information practices Act.</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10">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141—3.3</w:t>
      </w:r>
      <w:r>
        <w:rPr>
          <w:rFonts w:ascii="Times New Roman" w:hAnsi="Times New Roman"/>
          <w:b/>
          <w:i w:val="false"/>
          <w:color w:val="000000"/>
          <w:sz w:val="22"/>
        </w:rPr>
        <w:t xml:space="preserve">(2C,22)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A request for access to a record should be directed to the ombudsman at the Office of Ombudsman, Ola Babcock Miller Building, 1112 E. Grand Avenue, Des Moines, Iowa 50319. The agency may also be reached at the following numbers: telephone (515)281-3592, 1-888-426-6283 (1-888-IA-OMBUD), TDD/TTY (515)242-5065, and fax (515)242-6007.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Access to records shall be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designated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records may be made in writing, in person, by telephone, by e-mail, or by facsimile (fax). Requests shall identify by name and description the particular records sought in order to facilitate the location of the record. Requests by mail, telephone, e-mail, or facsimile (fax) shall also include the name, address, e-mail, and telephone or fax number of the person requesting the information. A person shall not be required to give a reason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an open record of the agency shall be provided promptly upon request. If the size or nature of the request makes prompt access impracticable, the custodian shall comply with the request as soon as practicable. Access to an open record may be delayed for one of the purposes authorized by Iowa Code subsection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notify the requester of the reason for a delay in access to an open record and an estimate of the length of that delay and, upon request, shall provide such notice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subsections </w:t>
      </w:r>
      <w:hyperlink r:id="rId13">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5">
        <w:r>
          <w:rPr>
            <w:rStyle w:val="Hyperlink"/>
            <w:rFonts w:ascii="Times New Roman" w:hAnsi="Times New Roman"/>
            <w:b w:val="false"/>
            <w:i w:val="false"/>
            <w:color w:val="000000"/>
            <w:sz w:val="22"/>
          </w:rPr>
          <w:t>141—3.4</w:t>
        </w:r>
      </w:hyperlink>
      <w:r>
        <w:rPr>
          <w:rFonts w:ascii="Times New Roman" w:hAnsi="Times New Roman"/>
          <w:b w:val="false"/>
          <w:i w:val="false"/>
          <w:color w:val="000000"/>
          <w:sz w:val="22"/>
        </w:rPr>
        <w:t>(2C,22)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Examination and copying of agency records shall be supervised by the custodian or a designee of the custodian. A person may not search or remove any record from agency files without permission from the custodian. A person may not cause damage or disorganization to any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 record may be made in the agency’s office. If photocopy equipment is not available in the agency office, the custodian shall permit examination of the record in the office and shall arrange to have copies made as soon as practicable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To the extent permitted by law, the agency may charge fees in connection with the examination or copying and may waive payment of such fees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Copies of records may be made by or for members of the public on agency photocopy machines or from electronic storage systems at costs as determined by the custodian. When the mailing of copies of records is requested, the actual costs of such mailing may also be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agency expenses in supervising the examination and copying of requested records when the time required is in excess of one-half hour. The hourly fee charged shall not be in excess of the hourly wage of an agency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If the request requires research or if the records cannot readily be retrieved by the agency, the requester will be advised of this fact. Reasonable search fees may be charged where appropriate. In addition, all costs for retrieval and copying of information stored in electronic storage systems may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 </w:t>
      </w:r>
      <w:r>
        <w:rPr>
          <w:rFonts w:ascii="Times New Roman" w:hAnsi="Times New Roman"/>
          <w:b w:val="false"/>
          <w:i w:val="false"/>
          <w:color w:val="000000"/>
          <w:sz w:val="22"/>
        </w:rPr>
        <w:t>When the estimated total fee chargeable under this subrule exceeds $25, the custodian may require the requester to make an advance payment to cover all or a part of the estimated fee. When a requester has previously failed to pay a fee chargeable under this subrule, the custodian may require advance payment of the full amount of any estimated fee before the custodian processes a new request from that requester.</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16">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141—3.4</w:t>
      </w:r>
      <w:r>
        <w:rPr>
          <w:rFonts w:ascii="Times New Roman" w:hAnsi="Times New Roman"/>
          <w:b/>
          <w:i w:val="false"/>
          <w:color w:val="000000"/>
          <w:sz w:val="22"/>
        </w:rPr>
        <w:t xml:space="preserve">(2C,22)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 xml:space="preserve"> or other applicable provisions of law, the custodian may disclose certain confidential records to one or more members of the public, or may be authorized or required to release specified confidential records in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9">
        <w:r>
          <w:rPr>
            <w:rStyle w:val="Hyperlink"/>
            <w:rFonts w:ascii="Times New Roman" w:hAnsi="Times New Roman"/>
            <w:b w:val="false"/>
            <w:i w:val="false"/>
            <w:color w:val="000000"/>
            <w:sz w:val="22"/>
          </w:rPr>
          <w:t>141—3.3</w:t>
        </w:r>
      </w:hyperlink>
      <w:r>
        <w:rPr>
          <w:rFonts w:ascii="Times New Roman" w:hAnsi="Times New Roman"/>
          <w:b w:val="false"/>
          <w:i w:val="false"/>
          <w:color w:val="000000"/>
          <w:sz w:val="22"/>
        </w:rPr>
        <w:t>(2C,22):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that a request to examine and copy a confidential record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2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may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which is signed by the custodian and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the custodian shall notify the requester and indicate any lawful restrictions imposed on the requester’s examination and copying of the record.</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21">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141—3.5</w:t>
      </w:r>
      <w:r>
        <w:rPr>
          <w:rFonts w:ascii="Times New Roman" w:hAnsi="Times New Roman"/>
          <w:b/>
          <w:i w:val="false"/>
          <w:color w:val="000000"/>
          <w:sz w:val="22"/>
        </w:rPr>
        <w:t xml:space="preserve">(2C,22) </w:t>
      </w:r>
      <w:r>
        <w:rPr>
          <w:rFonts w:ascii="Times New Roman" w:hAnsi="Times New Roman"/>
          <w:b/>
          <w:i w:val="false"/>
          <w:color w:val="000000"/>
          <w:sz w:val="22"/>
        </w:rPr>
        <w:t xml:space="preserve">Requests to treat record as confidential.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2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make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2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 or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filed with the custodian in writing and shall set forth the factual and legal basis for the request. If possible, the request shall be accompanied by the original or a copy of the record, which identifies the parts of the record requested to be treated as confidential. A person filing such a request may be required to provide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Failure of a person to request confidential record treatment for a record does not preclude the custodian from treating it as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or disclosure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the custodian grants the request or defers action on the request, a copy of the record from which the matter in question has been deleted and a copy of the decision to grant the request or to defer action upon the request shall be made available for public inspection or disclosure in lieu of the original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 xml:space="preserve">If the custodian denies the request, the custodian shall notify the requester in writing of that decision and the reasons for that decision. Upon application by the requester, the custodian may, in good faith, reasonably delay allowing examination or disclosure of the record so that the requester may seek injunctive relief under Iowa Code section </w:t>
      </w:r>
      <w:hyperlink r:id="rId2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The custodian shall notify the requester in writing of the time period allowed for the requester to seek injunctive relief.</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27">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141—3.6</w:t>
      </w:r>
      <w:r>
        <w:rPr>
          <w:rFonts w:ascii="Times New Roman" w:hAnsi="Times New Roman"/>
          <w:b/>
          <w:i w:val="false"/>
          <w:color w:val="000000"/>
          <w:sz w:val="22"/>
        </w:rPr>
        <w:t xml:space="preserve">(2C,22) </w:t>
      </w:r>
      <w:r>
        <w:rPr>
          <w:rFonts w:ascii="Times New Roman" w:hAnsi="Times New Roman"/>
          <w:b/>
          <w:i w:val="false"/>
          <w:color w:val="000000"/>
          <w:sz w:val="22"/>
        </w:rPr>
        <w:t xml:space="preserve">Additions, dissents or objections to records. </w:t>
      </w:r>
      <w:r>
        <w:rPr>
          <w:rFonts w:ascii="Times New Roman" w:hAnsi="Times New Roman"/>
          <w:b w:val="false"/>
          <w:i w:val="false"/>
          <w:color w:val="000000"/>
          <w:sz w:val="22"/>
        </w:rPr>
        <w:t>Except as otherwise provided by law, a person may file a request with the custodian to review and, in addition,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agency proceeding. The requester shall send such request or written statement to the custodian. The request or written statement must be dated and signed by the requester and have the current address and telephone number of the requester or requester’s representative.</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28">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141—3.7</w:t>
      </w:r>
      <w:r>
        <w:rPr>
          <w:rFonts w:ascii="Times New Roman" w:hAnsi="Times New Roman"/>
          <w:b/>
          <w:i w:val="false"/>
          <w:color w:val="000000"/>
          <w:sz w:val="22"/>
        </w:rPr>
        <w:t xml:space="preserve">(2C,22)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The agency shall notify persons completing agency forms of the use that will be made of personal information, which persons outside the agency might routinely be provided this information, which parts of the requested information are required and which are optional, and the consequences of a failure to provide the information requested. This notice may be by rule, on the form used to collect the information, on a separate fact sheet or letter, in a brochure, in formal agreements, in contracts, in handbooks, in manuals, verbally, or by other appropriate means. Notice is not required with discovery requests in litigation or administrative proceedings, subpoenas, or similar demands for information.</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29">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141—3.8</w:t>
      </w:r>
      <w:r>
        <w:rPr>
          <w:rFonts w:ascii="Times New Roman" w:hAnsi="Times New Roman"/>
          <w:b/>
          <w:i w:val="false"/>
          <w:color w:val="000000"/>
          <w:sz w:val="22"/>
        </w:rPr>
        <w:t xml:space="preserve">(2C,22)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the person who is the subject of a confidential file, as provided in rule </w:t>
      </w:r>
      <w:hyperlink r:id="rId30">
        <w:r>
          <w:rPr>
            <w:rStyle w:val="Hyperlink"/>
            <w:rFonts w:ascii="Times New Roman" w:hAnsi="Times New Roman"/>
            <w:b w:val="false"/>
            <w:i w:val="false"/>
            <w:color w:val="000000"/>
            <w:sz w:val="22"/>
          </w:rPr>
          <w:t>141—3.6</w:t>
        </w:r>
      </w:hyperlink>
      <w:r>
        <w:rPr>
          <w:rFonts w:ascii="Times New Roman" w:hAnsi="Times New Roman"/>
          <w:b w:val="false"/>
          <w:i w:val="false"/>
          <w:color w:val="000000"/>
          <w:sz w:val="22"/>
        </w:rPr>
        <w:t xml:space="preserve">(2C,22). All information in case files, including the identity of a person providing the information to the agency, may be withheld from the subject pursuant to Iowa Code section </w:t>
      </w:r>
      <w:hyperlink r:id="rId31">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 The agency need not release records that are the work product of an attorney or are otherwise privileged and need not release records that are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When a record concerns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32">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141—3.9</w:t>
      </w:r>
      <w:r>
        <w:rPr>
          <w:rFonts w:ascii="Times New Roman" w:hAnsi="Times New Roman"/>
          <w:b/>
          <w:i w:val="false"/>
          <w:color w:val="000000"/>
          <w:sz w:val="22"/>
        </w:rPr>
        <w:t xml:space="preserve">(2C,22)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color w:val="000000"/>
          <w:sz w:val="22"/>
        </w:rPr>
        <w:t xml:space="preserve">Disclosure to legal counsel. </w:t>
      </w:r>
      <w:r>
        <w:rPr>
          <w:rFonts w:ascii="Times New Roman" w:hAnsi="Times New Roman"/>
          <w:b w:val="false"/>
          <w:i w:val="false"/>
          <w:color w:val="000000"/>
          <w:sz w:val="22"/>
        </w:rPr>
        <w:t>Appearance of counsel on behalf of a person who is the subject of a confidential record is deemed to constitute consent for the agency to disclose records about that person to the person’s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33">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141—3.10</w:t>
      </w:r>
      <w:r>
        <w:rPr>
          <w:rFonts w:ascii="Times New Roman" w:hAnsi="Times New Roman"/>
          <w:b/>
          <w:i w:val="false"/>
          <w:color w:val="000000"/>
          <w:sz w:val="22"/>
        </w:rPr>
        <w:t xml:space="preserve">(2C,22) </w:t>
      </w:r>
      <w:r>
        <w:rPr>
          <w:rFonts w:ascii="Times New Roman" w:hAnsi="Times New Roman"/>
          <w:b/>
          <w:i w:val="false"/>
          <w:color w:val="000000"/>
          <w:sz w:val="22"/>
        </w:rPr>
        <w:t xml:space="preserve">Disclosure without consent of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To the extent allowed by law, the agency may disclose confidential records without the consent of the subject of a confidential record. Following are instances where the agency may disclose confidential information without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or agents of the agency who need the information in the performance of their duties. The custodian of the record shall determine what constitutes legitimate need to use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related to cases to complainants or other state or local governmental agencies, as appropriate to carry out the agency’s statutory functions. The agency may disclose the identities of complainants or witnesses who appear before the agency, if disclosure will facilitate an inquiry or investigation by the agency or enable the agency to sufficiently present its investigative findings and conclusions.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any records, upon request, to the general assembly, any standing committee of the general assembly, or the governor, under Iowa Code section </w:t>
      </w:r>
      <w:hyperlink r:id="rId34">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 except that confidential information provided by other agencies shall not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Release of critical reports, special reports, or annual reports to the general assembly or any of its committees, the governor, the news media, or interested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investigations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to the appropriate authorities concerning the conduct of any public official or employee which warrants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to a recipient who has given to the agency written assurance that the record will be used solely as a statistical research or reporting record, if the information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to an individual pursuant to a showing of compelling circumstances affecting the health or safety of any individual, provided that notice of the disclosure is first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 the course of an employee disciplinary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 response to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disclosure of information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35">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141—3.11</w:t>
      </w:r>
      <w:r>
        <w:rPr>
          <w:rFonts w:ascii="Times New Roman" w:hAnsi="Times New Roman"/>
          <w:b/>
          <w:i w:val="false"/>
          <w:color w:val="000000"/>
          <w:sz w:val="22"/>
        </w:rPr>
        <w:t xml:space="preserve">(2C,22)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 This agency also has possession of records which may be open records but which are copies of records from other agencies, which have been filed in judicial or administrative proceedings, or which are available in the state law library. This agency may refer persons to the originating agency, the clerk of the appropriate court, or the law library for those records. This ensures that the requester receives a clean official copy of the record and protects the agency against unintended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Confidential records may be withheld from public inspection by the agency. The following confidential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records, including case files, related to the statutory functions of the agency, which are confidential under Iowa Code section </w:t>
      </w:r>
      <w:hyperlink r:id="rId36">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agency staff manuals, instructions or other statements issued, which set forth criteria or guidelines used by agency staff in making investigations or in the selection or handling of cases which will be or are being litigated, when their disclosure would enable law violators to avoid detection, facilitate disregard of requirements imposed by law, or give a clearly improper advantage to persons who are in an adverse position to the agency. The agency also maintains some office or policy manuals provided by other agencies concerning the operations of those agencies. Some information in office manuals may be confidential under Iowa Code section </w:t>
      </w:r>
      <w:hyperlink r:id="rId38">
        <w:r>
          <w:rPr>
            <w:rStyle w:val="Hyperlink"/>
            <w:rFonts w:ascii="Times New Roman" w:hAnsi="Times New Roman"/>
            <w:b w:val="false"/>
            <w:i w:val="false"/>
            <w:color w:val="000000"/>
            <w:sz w:val="22"/>
          </w:rPr>
          <w:t>17A.2(11)</w:t>
        </w:r>
      </w:hyperlink>
      <w:r>
        <w:rPr>
          <w:rFonts w:ascii="Times New Roman" w:hAnsi="Times New Roman"/>
          <w:b w:val="false"/>
          <w:i w:val="false"/>
          <w:color w:val="000000"/>
          <w:sz w:val="22"/>
        </w:rPr>
        <w:t xml:space="preserve">(f), </w:t>
      </w:r>
      <w:hyperlink r:id="rId39">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 xml:space="preserve">(d), or </w:t>
      </w:r>
      <w:hyperlink r:id="rId40">
        <w:r>
          <w:rPr>
            <w:rStyle w:val="Hyperlink"/>
            <w:rFonts w:ascii="Times New Roman" w:hAnsi="Times New Roman"/>
            <w:b w:val="false"/>
            <w:i w:val="false"/>
            <w:color w:val="000000"/>
            <w:sz w:val="22"/>
          </w:rPr>
          <w:t>2C.9(4)</w:t>
        </w:r>
      </w:hyperlink>
      <w:r>
        <w:rPr>
          <w:rFonts w:ascii="Times New Roman" w:hAnsi="Times New Roman"/>
          <w:b w:val="false"/>
          <w:i w:val="false"/>
          <w:color w:val="000000"/>
          <w:sz w:val="22"/>
        </w:rPr>
        <w:t xml:space="preserve"> or other applicable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or attorney-client communications or which are otherwise privileged. Attorney work product is confidential under Iowa Code sections </w:t>
      </w:r>
      <w:hyperlink r:id="rId4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R.Civ.P. 26(b)(3), and case law. Attorney-client communications are confidential under Iowa Code sections </w:t>
      </w:r>
      <w:hyperlink r:id="rId43">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45">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141—3.12</w:t>
      </w:r>
      <w:r>
        <w:rPr>
          <w:rFonts w:ascii="Times New Roman" w:hAnsi="Times New Roman"/>
          <w:b/>
          <w:i w:val="false"/>
          <w:color w:val="000000"/>
          <w:sz w:val="22"/>
        </w:rPr>
        <w:t xml:space="preserve">(2C,22)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the record systems and the means by which that information is stored. Unless otherwise stated, the authority to collect the information is provided by Iowa Code chapter </w:t>
      </w:r>
      <w:hyperlink r:id="rId46">
        <w:r>
          <w:rPr>
            <w:rStyle w:val="Hyperlink"/>
            <w:rFonts w:ascii="Times New Roman" w:hAnsi="Times New Roman"/>
            <w:b w:val="false"/>
            <w:i w:val="false"/>
            <w:color w:val="000000"/>
            <w:sz w:val="22"/>
          </w:rPr>
          <w:t>2C</w:t>
        </w:r>
      </w:hyperlink>
      <w:r>
        <w:rPr>
          <w:rFonts w:ascii="Times New Roman" w:hAnsi="Times New Roman"/>
          <w:b w:val="false"/>
          <w:i w:val="false"/>
          <w:color w:val="000000"/>
          <w:sz w:val="22"/>
        </w:rPr>
        <w:t xml:space="preserve"> and the statutes governing the subject matter of the record. The agency maintains record systems that include case files, litigation files, personnel files, and applicant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Case files. </w:t>
      </w:r>
      <w:r>
        <w:rPr>
          <w:rFonts w:ascii="Times New Roman" w:hAnsi="Times New Roman"/>
          <w:b w:val="false"/>
          <w:i w:val="false"/>
          <w:color w:val="000000"/>
          <w:sz w:val="22"/>
        </w:rPr>
        <w:t xml:space="preserve">Case files contain information related to complaints and information requests, stored in either paper form or electronically in a case management system. These files contain names and locations of persons who contacted the agency, methods of contact, agency staff members who handled the case files, the dates the files were opened and closed, the subjects of the contacts, and the agencies involved. The files also include notes and memoranda of agency staff members and may include research materials, correspondence, and documents provided by complainants or agencies involved in the complaint. These files are confidential pursuant to Iowa Code section </w:t>
      </w:r>
      <w:hyperlink r:id="rId47">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 litigation files contain information regarding litigation or anticipated litigation, which includes judicial and administrative proceedings. These files include pleadings, briefs, depositions, discovery materials, docket sheets, general correspondence, attorney-client correspondence, documents, memoranda, investigative information, research materials, witness information, attorney’s notes, information compiled under the direction of the attorney, and case management records. These files may be stored in paper or electronic form. These files contain materials which are confidential as attorney work product and attorney-client communications or which are confidential under Iowa Code section </w:t>
      </w:r>
      <w:hyperlink r:id="rId48">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 xml:space="preserve"> or other applicable law, or because of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personnel files contain information about the employees in the agency. These files include payroll records, information required for tax withholding, biographical information, medical information relating to disability, information concerning employee benefits, performance evaluations and reviews, disciplinary information, and other information concerning employer-employee relationships. These records may be stored in paper or electronic form. Some information in these records is confidential under Iowa Code section </w:t>
      </w:r>
      <w:hyperlink r:id="rId4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 xml:space="preserve">Applicant files. </w:t>
      </w:r>
      <w:r>
        <w:rPr>
          <w:rFonts w:ascii="Times New Roman" w:hAnsi="Times New Roman"/>
          <w:b w:val="false"/>
          <w:i w:val="false"/>
          <w:color w:val="000000"/>
          <w:sz w:val="22"/>
        </w:rPr>
        <w:t xml:space="preserve">The applicant files contain information about applicants for positions with the agency. These files include biographical information, correspondence, equal employment opportunity and affirmative action data, and other preemployment materials. These files may be stored in paper or electronic form. Some information in these files is confidential under Iowa Code section </w:t>
      </w:r>
      <w:hyperlink r:id="rId5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51">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141—3.13</w:t>
      </w:r>
      <w:r>
        <w:rPr>
          <w:rFonts w:ascii="Times New Roman" w:hAnsi="Times New Roman"/>
          <w:b/>
          <w:i w:val="false"/>
          <w:color w:val="000000"/>
          <w:sz w:val="22"/>
        </w:rPr>
        <w:t xml:space="preserve">(2C,22)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52">
        <w:r>
          <w:rPr>
            <w:rStyle w:val="Hyperlink"/>
            <w:rFonts w:ascii="Times New Roman" w:hAnsi="Times New Roman"/>
            <w:b w:val="false"/>
            <w:i w:val="false"/>
            <w:color w:val="000000"/>
            <w:sz w:val="22"/>
          </w:rPr>
          <w:t>141—3.12</w:t>
        </w:r>
      </w:hyperlink>
      <w:r>
        <w:rPr>
          <w:rFonts w:ascii="Times New Roman" w:hAnsi="Times New Roman"/>
          <w:b w:val="false"/>
          <w:i w:val="false"/>
          <w:color w:val="000000"/>
          <w:sz w:val="22"/>
        </w:rPr>
        <w:t xml:space="preserve">(2C,22). These records are not stored or retrieved by personal identifiers. These records are routinely available to the public; however, the agency’s files of these records may contain some confidential information. Unless otherwise stated, the authority for this agency to maintain the record is provided by Iowa Code chapter </w:t>
      </w:r>
      <w:hyperlink r:id="rId53">
        <w:r>
          <w:rPr>
            <w:rStyle w:val="Hyperlink"/>
            <w:rFonts w:ascii="Times New Roman" w:hAnsi="Times New Roman"/>
            <w:b w:val="false"/>
            <w:i w:val="false"/>
            <w:color w:val="000000"/>
            <w:sz w:val="22"/>
          </w:rPr>
          <w:t>2C</w:t>
        </w:r>
      </w:hyperlink>
      <w:r>
        <w:rPr>
          <w:rFonts w:ascii="Times New Roman" w:hAnsi="Times New Roman"/>
          <w:b w:val="false"/>
          <w:i w:val="false"/>
          <w:color w:val="000000"/>
          <w:sz w:val="22"/>
        </w:rPr>
        <w:t xml:space="preserve"> and the statutes governing the subject matter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The administrative records include documents concerning budget, administrative or personnel reports, purchasing, printing and supply requisitions, property inventory, time sheets, and office policies for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a variety of books, periodicals, newsletters, government documents, and similar publications, which agency staff use as reference, research or resource materials. These materials are generally available for public examination but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Office publications include a variety of documents issued by the agency, including pamphlets, news releases, critical reports, special reports, and annual reports. Critical reports and special reports are also maintained in some files within the case files record system. Critical reports, special reports, and annual reports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Rule-making records consist of official documents produced during promulgation of agency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3.13(5)</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 xml:space="preserve">Agency staff may maintain office manuals which contain memoranda or statements of various policies and procedures related to performance of the agency’s functions. The agency also maintains some office or policy manuals provided by other agencies concerning the operations of those agencies. Some information in office manuals may be confidential under Iowa Code sections </w:t>
      </w:r>
      <w:hyperlink r:id="rId54">
        <w:r>
          <w:rPr>
            <w:rStyle w:val="Hyperlink"/>
            <w:rFonts w:ascii="Times New Roman" w:hAnsi="Times New Roman"/>
            <w:b w:val="false"/>
            <w:i w:val="false"/>
            <w:color w:val="000000"/>
            <w:sz w:val="22"/>
          </w:rPr>
          <w:t>17A.2(11)</w:t>
        </w:r>
      </w:hyperlink>
      <w:r>
        <w:rPr>
          <w:rFonts w:ascii="Times New Roman" w:hAnsi="Times New Roman"/>
          <w:b w:val="false"/>
          <w:i w:val="false"/>
          <w:color w:val="000000"/>
          <w:sz w:val="22"/>
        </w:rPr>
        <w:t xml:space="preserve">(f) and </w:t>
      </w:r>
      <w:hyperlink r:id="rId55">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(d)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3.13(6)</w:t>
      </w:r>
      <w:r>
        <w:rPr>
          <w:rFonts w:ascii="Times New Roman" w:hAnsi="Times New Roman"/>
          <w:b w:val="false"/>
          <w:i w:val="false"/>
          <w:color w:val="000000"/>
          <w:sz w:val="22"/>
        </w:rPr>
        <w:t> </w:t>
      </w:r>
      <w:r>
        <w:rPr>
          <w:rFonts w:ascii="Times New Roman" w:hAnsi="Times New Roman"/>
          <w:b w:val="false"/>
          <w:i/>
          <w:color w:val="000000"/>
          <w:sz w:val="22"/>
        </w:rPr>
        <w:t xml:space="preserve">Legal counsel research files. </w:t>
      </w:r>
      <w:r>
        <w:rPr>
          <w:rFonts w:ascii="Times New Roman" w:hAnsi="Times New Roman"/>
          <w:b w:val="false"/>
          <w:i w:val="false"/>
          <w:color w:val="000000"/>
          <w:sz w:val="22"/>
        </w:rPr>
        <w:t xml:space="preserve">The agency’s legal counsel maintains research files on a variety of legal issues related to the functions of the agency or specific case files. These files include copies of cases or other published materials, briefs, notes, and legal memoranda or opinions to agency staff. Some files regarding issues in particular cases may contain information about individuals. Some records in these files are confidential as attorney work product or attorney-client communications, or are confidential under Iowa Code section </w:t>
      </w:r>
      <w:hyperlink r:id="rId56">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3.13(7)</w:t>
      </w:r>
      <w:r>
        <w:rPr>
          <w:rFonts w:ascii="Times New Roman" w:hAnsi="Times New Roman"/>
          <w:b w:val="false"/>
          <w:i w:val="false"/>
          <w:color w:val="000000"/>
          <w:sz w:val="22"/>
        </w:rPr>
        <w:t> </w:t>
      </w:r>
      <w:r>
        <w:rPr>
          <w:rFonts w:ascii="Times New Roman" w:hAnsi="Times New Roman"/>
          <w:b w:val="false"/>
          <w:i/>
          <w:color w:val="000000"/>
          <w:sz w:val="22"/>
        </w:rPr>
        <w:t xml:space="preserve">Form files. </w:t>
      </w:r>
      <w:r>
        <w:rPr>
          <w:rFonts w:ascii="Times New Roman" w:hAnsi="Times New Roman"/>
          <w:b w:val="false"/>
          <w:i w:val="false"/>
          <w:color w:val="000000"/>
          <w:sz w:val="22"/>
        </w:rPr>
        <w:t>Form files contain various blank forms used by agency staff in the performance of agency functions.</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57">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141—3.14</w:t>
      </w:r>
      <w:r>
        <w:rPr>
          <w:rFonts w:ascii="Times New Roman" w:hAnsi="Times New Roman"/>
          <w:b/>
          <w:i w:val="false"/>
          <w:color w:val="000000"/>
          <w:sz w:val="22"/>
        </w:rPr>
        <w:t xml:space="preserve">(2C,22)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compare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58">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141—3.15</w:t>
      </w:r>
      <w:r>
        <w:rPr>
          <w:rFonts w:ascii="Times New Roman" w:hAnsi="Times New Roman"/>
          <w:b/>
          <w:i w:val="false"/>
          <w:color w:val="000000"/>
          <w:sz w:val="22"/>
        </w:rPr>
        <w:t xml:space="preserve">(2C,22)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which contain information about an individual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5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which have been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agency.</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60">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1">
        <w:r>
          <w:rPr>
            <w:rStyle w:val="Hyperlink"/>
            <w:rFonts w:ascii="Times New Roman" w:hAnsi="Times New Roman"/>
            <w:b w:val="false"/>
            <w:i w:val="false"/>
            <w:color w:val="000000"/>
            <w:sz w:val="22"/>
          </w:rPr>
          <w:t>2C.8</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2C.9(4)</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12/15/75, Notice 10/20/75—published 12/29/75, effective 2/2/76]</w:t>
      </w:r>
    </w:p>
    <w:p>
      <w:pPr>
        <w:spacing w:before="0" w:after="0"/>
        <w:ind w:left="120"/>
        <w:jc w:val="center"/>
      </w:pPr>
      <w:r>
        <w:rPr>
          <w:rFonts w:ascii="Times New Roman" w:hAnsi="Times New Roman"/>
          <w:b w:val="false"/>
          <w:i w:val="false"/>
          <w:color w:val="000000"/>
          <w:sz w:val="21"/>
        </w:rPr>
        <w:t>[Filed 8/26/81, Notice 7/22/81—published 9/16/81, effective 10/21/81]</w:t>
      </w:r>
    </w:p>
    <w:p>
      <w:pPr>
        <w:spacing w:before="0" w:after="0"/>
        <w:ind w:left="120"/>
        <w:jc w:val="center"/>
      </w:pPr>
      <w:r>
        <w:rPr>
          <w:rFonts w:ascii="Times New Roman" w:hAnsi="Times New Roman"/>
          <w:b w:val="false"/>
          <w:i w:val="false"/>
          <w:color w:val="000000"/>
          <w:sz w:val="21"/>
        </w:rPr>
        <w:t>[Filed 11/5/82, Notice 6/23/82—published 11/24/82, effective 12/29/82]</w:t>
      </w:r>
    </w:p>
    <w:p>
      <w:pPr>
        <w:spacing w:before="0" w:after="0"/>
        <w:ind w:left="120"/>
        <w:jc w:val="center"/>
      </w:pPr>
      <w:r>
        <w:rPr>
          <w:rFonts w:ascii="Times New Roman" w:hAnsi="Times New Roman"/>
          <w:b w:val="false"/>
          <w:i w:val="false"/>
          <w:color w:val="000000"/>
          <w:sz w:val="21"/>
        </w:rPr>
        <w:t xml:space="preserve">[Adopted and published 3/30/94 pursuant to Iowa Code section </w:t>
      </w:r>
      <w:hyperlink r:id="rId64">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5/1/94]</w:t>
      </w:r>
    </w:p>
    <w:p>
      <w:pPr>
        <w:spacing w:before="0" w:after="0"/>
        <w:ind w:left="120"/>
        <w:jc w:val="center"/>
      </w:pPr>
      <w:r>
        <w:rPr>
          <w:rFonts w:ascii="Times New Roman" w:hAnsi="Times New Roman"/>
          <w:b w:val="false"/>
          <w:i w:val="false"/>
          <w:color w:val="000000"/>
          <w:sz w:val="21"/>
        </w:rPr>
        <w:t xml:space="preserve">[Adopted and published 10/26/16 pursuant to Iowa Code section </w:t>
      </w:r>
      <w:hyperlink r:id="rId65">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11/1/16]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C.9.pdf" Type="http://schemas.openxmlformats.org/officeDocument/2006/relationships/hyperlink" Id="rId8"/>
    <Relationship TargetMode="External" Target="https://www.legis.iowa.gov/docs/ico/chapter/22.11.pdf" Type="http://schemas.openxmlformats.org/officeDocument/2006/relationships/hyperlink" Id="rId9"/>
    <Relationship TargetMode="External" Target="https://www.legis.iowa.gov/docs/ico/chapter/2C.9.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22.10.pdf" Type="http://schemas.openxmlformats.org/officeDocument/2006/relationships/hyperlink" Id="rId12"/>
    <Relationship TargetMode="External" Target="https://www.legis.iowa.gov/docs/ico/chapter/22.8.pdf" Type="http://schemas.openxmlformats.org/officeDocument/2006/relationships/hyperlink" Id="rId13"/>
    <Relationship TargetMode="External" Target="https://www.legis.iowa.gov/docs/ico/chapter/22.10.pdf" Type="http://schemas.openxmlformats.org/officeDocument/2006/relationships/hyperlink" Id="rId14"/>
    <Relationship TargetMode="External" Target="https://www.legis.iowa.gov/docs/iac/rule/141.3.4.pdf" Type="http://schemas.openxmlformats.org/officeDocument/2006/relationships/hyperlink" Id="rId15"/>
    <Relationship TargetMode="External" Target="https://www.legis.iowa.gov/docs/ico/chapter/2C.9.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C.8.pdf" Type="http://schemas.openxmlformats.org/officeDocument/2006/relationships/hyperlink" Id="rId18"/>
    <Relationship TargetMode="External" Target="https://www.legis.iowa.gov/docs/iac/rule/141.3.3.pdf" Type="http://schemas.openxmlformats.org/officeDocument/2006/relationships/hyperlink" Id="rId19"/>
    <Relationship TargetMode="External" Target="https://www.legis.iowa.gov/docs/ico/chapter/22.8.pdf" Type="http://schemas.openxmlformats.org/officeDocument/2006/relationships/hyperlink" Id="rId20"/>
    <Relationship TargetMode="External" Target="https://www.legis.iowa.gov/docs/ico/chapter/2C.9.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C.8.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C.8.pdf" Type="http://schemas.openxmlformats.org/officeDocument/2006/relationships/hyperlink" Id="rId25"/>
    <Relationship TargetMode="External" Target="https://www.legis.iowa.gov/docs/ico/chapter/22.8.pdf" Type="http://schemas.openxmlformats.org/officeDocument/2006/relationships/hyperlink" Id="rId26"/>
    <Relationship TargetMode="External" Target="https://www.legis.iowa.gov/docs/ico/chapter/2C.9.pdf" Type="http://schemas.openxmlformats.org/officeDocument/2006/relationships/hyperlink" Id="rId27"/>
    <Relationship TargetMode="External" Target="https://www.legis.iowa.gov/docs/ico/chapter/2C.9.pdf" Type="http://schemas.openxmlformats.org/officeDocument/2006/relationships/hyperlink" Id="rId28"/>
    <Relationship TargetMode="External" Target="https://www.legis.iowa.gov/docs/ico/chapter/2C.9.pdf" Type="http://schemas.openxmlformats.org/officeDocument/2006/relationships/hyperlink" Id="rId29"/>
    <Relationship TargetMode="External" Target="https://www.legis.iowa.gov/docs/iac/rule/141.3.6.pdf" Type="http://schemas.openxmlformats.org/officeDocument/2006/relationships/hyperlink" Id="rId30"/>
    <Relationship TargetMode="External" Target="https://www.legis.iowa.gov/docs/ico/chapter/2C.8.pdf" Type="http://schemas.openxmlformats.org/officeDocument/2006/relationships/hyperlink" Id="rId31"/>
    <Relationship TargetMode="External" Target="https://www.legis.iowa.gov/docs/ico/chapter/2C.9.pdf" Type="http://schemas.openxmlformats.org/officeDocument/2006/relationships/hyperlink" Id="rId32"/>
    <Relationship TargetMode="External" Target="https://www.legis.iowa.gov/docs/ico/chapter/2C.9.pdf" Type="http://schemas.openxmlformats.org/officeDocument/2006/relationships/hyperlink" Id="rId33"/>
    <Relationship TargetMode="External" Target="https://www.legis.iowa.gov/docs/ico/chapter/2C.8.pdf" Type="http://schemas.openxmlformats.org/officeDocument/2006/relationships/hyperlink" Id="rId34"/>
    <Relationship TargetMode="External" Target="https://www.legis.iowa.gov/docs/ico/chapter/2C.9.pdf" Type="http://schemas.openxmlformats.org/officeDocument/2006/relationships/hyperlink" Id="rId35"/>
    <Relationship TargetMode="External" Target="https://www.legis.iowa.gov/docs/ico/chapter/2C.8.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17A.2.pdf" Type="http://schemas.openxmlformats.org/officeDocument/2006/relationships/hyperlink" Id="rId38"/>
    <Relationship TargetMode="External" Target="https://www.legis.iowa.gov/docs/ico/chapter/17A.3.pdf" Type="http://schemas.openxmlformats.org/officeDocument/2006/relationships/hyperlink" Id="rId39"/>
    <Relationship TargetMode="External" Target="https://www.legis.iowa.gov/docs/ico/chapter/2C.9.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622.11.pdf" Type="http://schemas.openxmlformats.org/officeDocument/2006/relationships/hyperlink" Id="rId42"/>
    <Relationship TargetMode="External" Target="https://www.legis.iowa.gov/docs/ico/chapter/622.10.pdf" Type="http://schemas.openxmlformats.org/officeDocument/2006/relationships/hyperlink" Id="rId43"/>
    <Relationship TargetMode="External" Target="https://www.legis.iowa.gov/docs/ico/chapter/622.11.pdf" Type="http://schemas.openxmlformats.org/officeDocument/2006/relationships/hyperlink" Id="rId44"/>
    <Relationship TargetMode="External" Target="https://www.legis.iowa.gov/docs/ico/chapter/2C.9.pdf" Type="http://schemas.openxmlformats.org/officeDocument/2006/relationships/hyperlink" Id="rId45"/>
    <Relationship TargetMode="External" Target="https://www.legis.iowa.gov/docs/ico/chapter/2C.pdf" Type="http://schemas.openxmlformats.org/officeDocument/2006/relationships/hyperlink" Id="rId46"/>
    <Relationship TargetMode="External" Target="https://www.legis.iowa.gov/docs/ico/chapter/2C.8.pdf" Type="http://schemas.openxmlformats.org/officeDocument/2006/relationships/hyperlink" Id="rId47"/>
    <Relationship TargetMode="External" Target="https://www.legis.iowa.gov/docs/ico/chapter/2C.8.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22.7.pdf" Type="http://schemas.openxmlformats.org/officeDocument/2006/relationships/hyperlink" Id="rId50"/>
    <Relationship TargetMode="External" Target="https://www.legis.iowa.gov/docs/ico/chapter/2C.9.pdf" Type="http://schemas.openxmlformats.org/officeDocument/2006/relationships/hyperlink" Id="rId51"/>
    <Relationship TargetMode="External" Target="https://www.legis.iowa.gov/docs/iac/rule/141.3.12.pdf" Type="http://schemas.openxmlformats.org/officeDocument/2006/relationships/hyperlink" Id="rId52"/>
    <Relationship TargetMode="External" Target="https://www.legis.iowa.gov/docs/ico/chapter/2C.pdf" Type="http://schemas.openxmlformats.org/officeDocument/2006/relationships/hyperlink" Id="rId53"/>
    <Relationship TargetMode="External" Target="https://www.legis.iowa.gov/docs/ico/chapter/17A.2.pdf" Type="http://schemas.openxmlformats.org/officeDocument/2006/relationships/hyperlink" Id="rId54"/>
    <Relationship TargetMode="External" Target="https://www.legis.iowa.gov/docs/ico/chapter/17A.3.pdf" Type="http://schemas.openxmlformats.org/officeDocument/2006/relationships/hyperlink" Id="rId55"/>
    <Relationship TargetMode="External" Target="https://www.legis.iowa.gov/docs/ico/chapter/2C.8.pdf" Type="http://schemas.openxmlformats.org/officeDocument/2006/relationships/hyperlink" Id="rId56"/>
    <Relationship TargetMode="External" Target="https://www.legis.iowa.gov/docs/ico/chapter/2C.9.pdf" Type="http://schemas.openxmlformats.org/officeDocument/2006/relationships/hyperlink" Id="rId57"/>
    <Relationship TargetMode="External" Target="https://www.legis.iowa.gov/docs/ico/chapter/2C.9.pdf" Type="http://schemas.openxmlformats.org/officeDocument/2006/relationships/hyperlink" Id="rId58"/>
    <Relationship TargetMode="External" Target="https://www.legis.iowa.gov/docs/ico/chapter/22.pdf" Type="http://schemas.openxmlformats.org/officeDocument/2006/relationships/hyperlink" Id="rId59"/>
    <Relationship TargetMode="External" Target="https://www.legis.iowa.gov/docs/ico/chapter/2C.9.pdf" Type="http://schemas.openxmlformats.org/officeDocument/2006/relationships/hyperlink" Id="rId60"/>
    <Relationship TargetMode="External" Target="https://www.legis.iowa.gov/docs/ico/chapter/2C.8.pdf" Type="http://schemas.openxmlformats.org/officeDocument/2006/relationships/hyperlink" Id="rId61"/>
    <Relationship TargetMode="External" Target="https://www.legis.iowa.gov/docs/ico/chapter/2C.9.pdf" Type="http://schemas.openxmlformats.org/officeDocument/2006/relationships/hyperlink" Id="rId62"/>
    <Relationship TargetMode="External" Target="https://www.legis.iowa.gov/docs/ico/chapter/22.11.pdf" Type="http://schemas.openxmlformats.org/officeDocument/2006/relationships/hyperlink" Id="rId63"/>
    <Relationship TargetMode="External" Target="https://www.legis.iowa.gov/docs/ico/chapter/2C.9.pdf" Type="http://schemas.openxmlformats.org/officeDocument/2006/relationships/hyperlink" Id="rId64"/>
    <Relationship TargetMode="External" Target="https://www.legis.iowa.gov/docs/ico/chapter/2C.9.pdf" Type="http://schemas.openxmlformats.org/officeDocument/2006/relationships/hyperlink" Id="rId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