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BROADBAND INFRASTRUCTURE—PROJECT CERTIFICATION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129—21.1</w:t>
      </w:r>
      <w:r>
        <w:rPr>
          <w:rFonts w:ascii="Times New Roman" w:hAnsi="Times New Roman"/>
          <w:b/>
          <w:i w:val="false"/>
          <w:color w:val="000000"/>
          <w:sz w:val="22"/>
        </w:rPr>
        <w:t xml:space="preserve">(8B,427)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rule </w:t>
      </w:r>
      <w:hyperlink r:id="rId5">
        <w:r>
          <w:rPr>
            <w:rStyle w:val="Hyperlink"/>
            <w:rFonts w:ascii="Times New Roman" w:hAnsi="Times New Roman"/>
            <w:b w:val="false"/>
            <w:i w:val="false"/>
            <w:color w:val="000000"/>
            <w:sz w:val="22"/>
          </w:rPr>
          <w:t>129—20.1</w:t>
        </w:r>
      </w:hyperlink>
      <w:r>
        <w:rPr>
          <w:rFonts w:ascii="Times New Roman" w:hAnsi="Times New Roman"/>
          <w:b w:val="false"/>
          <w:i w:val="false"/>
          <w:color w:val="000000"/>
          <w:sz w:val="22"/>
        </w:rPr>
        <w:t>(8B,427) shall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129—21.2</w:t>
      </w:r>
      <w:r>
        <w:rPr>
          <w:rFonts w:ascii="Times New Roman" w:hAnsi="Times New Roman"/>
          <w:b/>
          <w:i w:val="false"/>
          <w:color w:val="000000"/>
          <w:sz w:val="22"/>
        </w:rPr>
        <w:t xml:space="preserve">(8B,427)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communications service providers who request certification pursuant to Iowa Code section </w:t>
      </w:r>
      <w:hyperlink r:id="rId6">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 xml:space="preserve"> from the office that an installation of the broadband infrastructure will facilitate broadband service at or above the download and upload speeds specified in the definition of targeted service area in a targeted service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129—21.3</w:t>
      </w:r>
      <w:r>
        <w:rPr>
          <w:rFonts w:ascii="Times New Roman" w:hAnsi="Times New Roman"/>
          <w:b/>
          <w:i w:val="false"/>
          <w:color w:val="000000"/>
          <w:sz w:val="22"/>
        </w:rPr>
        <w:t xml:space="preserve">(8B,427) </w:t>
      </w:r>
      <w:r>
        <w:rPr>
          <w:rFonts w:ascii="Times New Roman" w:hAnsi="Times New Roman"/>
          <w:b/>
          <w:i w:val="false"/>
          <w:color w:val="000000"/>
          <w:sz w:val="22"/>
        </w:rPr>
        <w:t xml:space="preserve">Application for certification. </w:t>
      </w:r>
      <w:r>
        <w:rPr>
          <w:rFonts w:ascii="Times New Roman" w:hAnsi="Times New Roman"/>
          <w:b w:val="false"/>
          <w:i w:val="false"/>
          <w:color w:val="000000"/>
          <w:sz w:val="22"/>
        </w:rPr>
        <w:t xml:space="preserve">Applications for certification shall be completed and submitted by the means specified online at </w:t>
      </w:r>
      <w:hyperlink r:id="rId7">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 In order to receive certification from the office, applications must be filled out in their entirety. Communications service providers making application to the office will be required to certify that all of the information contained in the application is accurate. If it is later determined that any of the information contained in the application is inaccurate, the office may revoke the certification, in whole or in part. An application for certification shall include without limitation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communications service provider’s legal and business name(s) and address(es) and the name, address, telephone number, and email address of the person authorized by the communications service provider to respond to inquiries regarding the application for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broadband block number(s) or other unique identifier as provided on the statewide map referenced in rule </w:t>
      </w:r>
      <w:hyperlink r:id="rId8">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for the targeted service area(s) forming the basis of the application (i.e., the targeted service area(s) in which the installation of the broadband infrastructure will facilitate broadband service at or above the download and upload speeds specified in the definition of targeted service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and overview of the specific technologies to be deployed (e.g., fixed wireless) that will facilitate broadband service at or above the download and upload speeds specified in the definition of targeted service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Attestation that the broadband infrastructure installed in the targeted service area(s) will facilitate broadband service at or above the download and upload speeds specified in the definition of targeted service area;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information as requested in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129—21.4</w:t>
      </w:r>
      <w:r>
        <w:rPr>
          <w:rFonts w:ascii="Times New Roman" w:hAnsi="Times New Roman"/>
          <w:b/>
          <w:i w:val="false"/>
          <w:color w:val="000000"/>
          <w:sz w:val="22"/>
        </w:rPr>
        <w:t xml:space="preserve">(8B,427) </w:t>
      </w:r>
      <w:r>
        <w:rPr>
          <w:rFonts w:ascii="Times New Roman" w:hAnsi="Times New Roman"/>
          <w:b/>
          <w:i w:val="false"/>
          <w:color w:val="000000"/>
          <w:sz w:val="22"/>
        </w:rPr>
        <w:t xml:space="preserve">Time of filing. </w:t>
      </w:r>
      <w:r>
        <w:rPr>
          <w:rFonts w:ascii="Times New Roman" w:hAnsi="Times New Roman"/>
          <w:b w:val="false"/>
          <w:i w:val="false"/>
          <w:color w:val="000000"/>
          <w:sz w:val="22"/>
        </w:rPr>
        <w:t xml:space="preserve">Applications for certification must be received by the office at least ten days prior to the closure of the next applicable assessment deadline to be considered by the office for purposes of that reporting cycle. If the office does not receive an application within that time frame, the office may deny the application or consider the application as part of the next assessment cycle. Except as otherwise authorized by the office, an application for certification shall be deemed filed on the date of its actual receipt by the office. Notwithstanding the foregoing, except as otherwise authorized by the office, when an application for certification is filed during an open 20-day appeal period specified in </w:t>
      </w:r>
      <w:hyperlink r:id="rId9">
        <w:r>
          <w:rPr>
            <w:rStyle w:val="Hyperlink"/>
            <w:rFonts w:ascii="Times New Roman" w:hAnsi="Times New Roman"/>
            <w:b w:val="false"/>
            <w:i w:val="false"/>
            <w:color w:val="000000"/>
            <w:sz w:val="22"/>
          </w:rPr>
          <w:t>129—subrule 20.5(1)</w:t>
        </w:r>
      </w:hyperlink>
      <w:r>
        <w:rPr>
          <w:rFonts w:ascii="Times New Roman" w:hAnsi="Times New Roman"/>
          <w:b w:val="false"/>
          <w:i w:val="false"/>
          <w:color w:val="000000"/>
          <w:sz w:val="22"/>
        </w:rPr>
        <w:t xml:space="preserve"> following the publication of an updated statewide map in accordance with rule </w:t>
      </w:r>
      <w:hyperlink r:id="rId10">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an application for certification will not be deemed filed prior to the expiration of the 20-day appeal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129—21.5</w:t>
      </w:r>
      <w:r>
        <w:rPr>
          <w:rFonts w:ascii="Times New Roman" w:hAnsi="Times New Roman"/>
          <w:b/>
          <w:i w:val="false"/>
          <w:color w:val="000000"/>
          <w:sz w:val="22"/>
        </w:rPr>
        <w:t xml:space="preserve">(8B,427) </w:t>
      </w:r>
      <w:r>
        <w:rPr>
          <w:rFonts w:ascii="Times New Roman" w:hAnsi="Times New Roman"/>
          <w:b/>
          <w:i w:val="false"/>
          <w:color w:val="000000"/>
          <w:sz w:val="22"/>
        </w:rPr>
        <w:t xml:space="preserve">Notice of decision and issuance of certificate. </w:t>
      </w:r>
      <w:r>
        <w:rPr>
          <w:rFonts w:ascii="Times New Roman" w:hAnsi="Times New Roman"/>
          <w:b w:val="false"/>
          <w:i w:val="false"/>
          <w:color w:val="000000"/>
          <w:sz w:val="22"/>
        </w:rPr>
        <w:t xml:space="preserve">Following the timely filing of an application for certification and before the closure of the next assessment cycle, the office shall notify the communications service provider by electronic means of its decision regarding the application for certification. If the decision is to deny the application or part of the application, such notice shall include a concise statement of the office’s reasons for such denial, in whole or in part. A determination by the office to deny an application for certification, in whole or in part, may be appealed pursuant to </w:t>
      </w:r>
      <w:hyperlink r:id="rId11">
        <w:r>
          <w:rPr>
            <w:rStyle w:val="Hyperlink"/>
            <w:rFonts w:ascii="Times New Roman" w:hAnsi="Times New Roman"/>
            <w:b w:val="false"/>
            <w:i w:val="false"/>
            <w:color w:val="000000"/>
            <w:sz w:val="22"/>
          </w:rPr>
          <w:t>129—Chapter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129—21.6</w:t>
      </w:r>
      <w:r>
        <w:rPr>
          <w:rFonts w:ascii="Times New Roman" w:hAnsi="Times New Roman"/>
          <w:b/>
          <w:i w:val="false"/>
          <w:color w:val="000000"/>
          <w:sz w:val="22"/>
        </w:rPr>
        <w:t xml:space="preserve">(8B,427) </w:t>
      </w:r>
      <w:r>
        <w:rPr>
          <w:rFonts w:ascii="Times New Roman" w:hAnsi="Times New Roman"/>
          <w:b/>
          <w:i w:val="false"/>
          <w:color w:val="000000"/>
          <w:sz w:val="22"/>
        </w:rPr>
        <w:t xml:space="preserve">Contents of certification. </w:t>
      </w:r>
      <w:r>
        <w:rPr>
          <w:rFonts w:ascii="Times New Roman" w:hAnsi="Times New Roman"/>
          <w:b w:val="false"/>
          <w:i w:val="false"/>
          <w:color w:val="000000"/>
          <w:sz w:val="22"/>
        </w:rPr>
        <w:t xml:space="preserve">The certification shall state the communications service provider for which the certification is being issued, the broadband block number(s) (as provided on the map referenced in rule </w:t>
      </w:r>
      <w:hyperlink r:id="rId12">
        <w:r>
          <w:rPr>
            <w:rStyle w:val="Hyperlink"/>
            <w:rFonts w:ascii="Times New Roman" w:hAnsi="Times New Roman"/>
            <w:b w:val="false"/>
            <w:i w:val="false"/>
            <w:color w:val="000000"/>
            <w:sz w:val="22"/>
          </w:rPr>
          <w:t>129—21.4</w:t>
        </w:r>
      </w:hyperlink>
      <w:r>
        <w:rPr>
          <w:rFonts w:ascii="Times New Roman" w:hAnsi="Times New Roman"/>
          <w:b w:val="false"/>
          <w:i w:val="false"/>
          <w:color w:val="000000"/>
          <w:sz w:val="22"/>
        </w:rPr>
        <w:t>(8B,427)) of the targeted service area(s) for which the certification is being issued and county(s) in which such targeted service area(s) resides, that the office has determined the broadband block(s) in which the installation will facilitate broadband service are targeted service area(s), that the broadband infrastructure will facilitate broadband service at or above the download and upload speeds specified in the definition of targeted service area, and the date on which the certification is issued by the office. Such certification shall be signed by the CIO.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129—21.7</w:t>
      </w:r>
      <w:r>
        <w:rPr>
          <w:rFonts w:ascii="Times New Roman" w:hAnsi="Times New Roman"/>
          <w:b/>
          <w:i w:val="false"/>
          <w:color w:val="000000"/>
          <w:sz w:val="22"/>
        </w:rPr>
        <w:t xml:space="preserve">(8B,427) </w:t>
      </w:r>
      <w:r>
        <w:rPr>
          <w:rFonts w:ascii="Times New Roman" w:hAnsi="Times New Roman"/>
          <w:b/>
          <w:i w:val="false"/>
          <w:color w:val="000000"/>
          <w:sz w:val="22"/>
        </w:rPr>
        <w:t xml:space="preserve">Targeted service areas subject to challenge. </w:t>
      </w:r>
      <w:r>
        <w:rPr>
          <w:rFonts w:ascii="Times New Roman" w:hAnsi="Times New Roman"/>
          <w:b w:val="false"/>
          <w:i w:val="false"/>
          <w:color w:val="000000"/>
          <w:sz w:val="22"/>
        </w:rPr>
        <w:t xml:space="preserve">To the extent an application for certification satisfies all other requirements of this chapter, if at the time such application is filed the office’s determination of whether a particular broadband block forming the basis of such application, in whole or in part, is a targeted service area currently subject to challenge pursuant to the appeal and contested case procedures set forth in </w:t>
      </w:r>
      <w:hyperlink r:id="rId13">
        <w:r>
          <w:rPr>
            <w:rStyle w:val="Hyperlink"/>
            <w:rFonts w:ascii="Times New Roman" w:hAnsi="Times New Roman"/>
            <w:b w:val="false"/>
            <w:i w:val="false"/>
            <w:color w:val="000000"/>
            <w:sz w:val="22"/>
          </w:rPr>
          <w:t>129—Chapter 20</w:t>
        </w:r>
      </w:hyperlink>
      <w:r>
        <w:rPr>
          <w:rFonts w:ascii="Times New Roman" w:hAnsi="Times New Roman"/>
          <w:b w:val="false"/>
          <w:i w:val="false"/>
          <w:color w:val="000000"/>
          <w:sz w:val="22"/>
        </w:rPr>
        <w:t xml:space="preserve">, or the judicial review and appeal procedures outlined in Iowa Code sections </w:t>
      </w:r>
      <w:hyperlink r:id="rId1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 xml:space="preserve">, the office will issue a certification. Notwithstanding the foregoing, the aspect(s) of the office’s certification concerning broadband blocks forming the basis of the application for certification that is currently subject to such challenge shall be purely contingent and valid only to the extent the office’s original determination is ultimately upheld at the end of the entire appeals process once final, including judicial review and any subsequent appeal. For purely administrative purposes, if a portion of an application for certification is later deemed invalid by operation of this rule, the office may require the communications service provider to file a new application pursuant to rule </w:t>
      </w:r>
      <w:hyperlink r:id="rId16">
        <w:r>
          <w:rPr>
            <w:rStyle w:val="Hyperlink"/>
            <w:rFonts w:ascii="Times New Roman" w:hAnsi="Times New Roman"/>
            <w:b w:val="false"/>
            <w:i w:val="false"/>
            <w:color w:val="000000"/>
            <w:sz w:val="22"/>
          </w:rPr>
          <w:t>129—21.3</w:t>
        </w:r>
      </w:hyperlink>
      <w:r>
        <w:rPr>
          <w:rFonts w:ascii="Times New Roman" w:hAnsi="Times New Roman"/>
          <w:b w:val="false"/>
          <w:i w:val="false"/>
          <w:color w:val="000000"/>
          <w:sz w:val="22"/>
        </w:rPr>
        <w:t>(8B,427).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129—21.8</w:t>
      </w:r>
      <w:r>
        <w:rPr>
          <w:rFonts w:ascii="Times New Roman" w:hAnsi="Times New Roman"/>
          <w:b/>
          <w:i w:val="false"/>
          <w:color w:val="000000"/>
          <w:sz w:val="22"/>
        </w:rPr>
        <w:t xml:space="preserve">(8B,427) </w:t>
      </w:r>
      <w:r>
        <w:rPr>
          <w:rFonts w:ascii="Times New Roman" w:hAnsi="Times New Roman"/>
          <w:b/>
          <w:i w:val="false"/>
          <w:color w:val="000000"/>
          <w:sz w:val="22"/>
        </w:rPr>
        <w:t xml:space="preserve">Certification of completion and field testing. </w:t>
      </w:r>
      <w:r>
        <w:rPr>
          <w:rFonts w:ascii="Times New Roman" w:hAnsi="Times New Roman"/>
          <w:b w:val="false"/>
          <w:i w:val="false"/>
          <w:color w:val="000000"/>
          <w:sz w:val="22"/>
        </w:rPr>
        <w:t xml:space="preserve">To the extent applicable, after an installation of broadband infrastructure certified by the office is fully installed in a targeted service area, the communications service provider for which a certification was issued must certify to the office that such installation facilitates broadband service at or above the download and upload speeds specified in the definition of targeted service area. The office may, in its discretion, conduct field tests for compliance with the requirements of Iowa Code section </w:t>
      </w:r>
      <w:hyperlink r:id="rId17">
        <w:r>
          <w:rPr>
            <w:rStyle w:val="Hyperlink"/>
            <w:rFonts w:ascii="Times New Roman" w:hAnsi="Times New Roman"/>
            <w:b w:val="false"/>
            <w:i w:val="false"/>
            <w:color w:val="000000"/>
            <w:sz w:val="22"/>
          </w:rPr>
          <w:t>427.1(40)</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any time after broadband service is available in a targeted service area. Such field tests may include but not be limited to speed tests from any location in a targeted service area in which the project was deployed or, in the case of wireline installations, the communications service provider’s network operation center or central office. As applicable, noncompliance may be reported to the attorney general, the department of revenue, or applicable county board of supervisors.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2782C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427.1(40)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House File 772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2782C</w:t>
      </w:r>
      <w:r>
        <w:rPr>
          <w:rFonts w:ascii="Times New Roman" w:hAnsi="Times New Roman"/>
          <w:b w:val="false"/>
          <w:i w:val="false"/>
          <w:color w:val="000000"/>
          <w:sz w:val="21"/>
        </w:rPr>
        <w:t xml:space="preserve"> (Notice ARC 2699C, IAB 8/31/16)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4606C</w:t>
      </w:r>
      <w:r>
        <w:rPr>
          <w:rFonts w:ascii="Times New Roman" w:hAnsi="Times New Roman"/>
          <w:b w:val="false"/>
          <w:i w:val="false"/>
          <w:color w:val="000000"/>
          <w:sz w:val="21"/>
        </w:rPr>
        <w:t xml:space="preserve"> (Notice ARC 4505C,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5173C</w:t>
      </w:r>
      <w:r>
        <w:rPr>
          <w:rFonts w:ascii="Times New Roman" w:hAnsi="Times New Roman"/>
          <w:b w:val="false"/>
          <w:i w:val="false"/>
          <w:color w:val="000000"/>
          <w:sz w:val="21"/>
        </w:rPr>
        <w:t xml:space="preserve"> (Notice ARC 5110C, IAB 7/29/20)</w:t>
      </w:r>
      <w:r>
        <w:rPr>
          <w:rFonts w:ascii="Times New Roman" w:hAnsi="Times New Roman"/>
          <w:b w:val="false"/>
          <w:i w:val="false"/>
          <w:color w:val="000000"/>
          <w:sz w:val="21"/>
        </w:rPr>
        <w:t>, IAB 9/9/20, effective 10/14/20]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29.20.1.pdf" Type="http://schemas.openxmlformats.org/officeDocument/2006/relationships/hyperlink" Id="rId5"/>
    <Relationship TargetMode="External" Target="https://www.legis.iowa.gov/docs/ico/chapter/427.1.pdf" Type="http://schemas.openxmlformats.org/officeDocument/2006/relationships/hyperlink" Id="rId6"/>
    <Relationship TargetMode="External" Target="http://ocio.iowa.gov/broadband" Type="http://schemas.openxmlformats.org/officeDocument/2006/relationships/hyperlink" Id="rId7"/>
    <Relationship TargetMode="External" Target="https://www.legis.iowa.gov/docs/iac/rule/129.20.4.pdf" Type="http://schemas.openxmlformats.org/officeDocument/2006/relationships/hyperlink" Id="rId8"/>
    <Relationship TargetMode="External" Target="https://www.legis.iowa.gov/docs/iac/rule/129.20.5.pdf" Type="http://schemas.openxmlformats.org/officeDocument/2006/relationships/hyperlink" Id="rId9"/>
    <Relationship TargetMode="External" Target="https://www.legis.iowa.gov/docs/iac/rule/129.20.4.pdf" Type="http://schemas.openxmlformats.org/officeDocument/2006/relationships/hyperlink" Id="rId10"/>
    <Relationship TargetMode="External" Target="https://www.legis.iowa.gov/docs/iac/agency/129.pdf" Type="http://schemas.openxmlformats.org/officeDocument/2006/relationships/hyperlink" Id="rId11"/>
    <Relationship TargetMode="External" Target="https://www.legis.iowa.gov/docs/iac/rule/129.21.4.pdf" Type="http://schemas.openxmlformats.org/officeDocument/2006/relationships/hyperlink" Id="rId12"/>
    <Relationship TargetMode="External" Target="https://www.legis.iowa.gov/docs/iac/chapter/129.20.pdf" Type="http://schemas.openxmlformats.org/officeDocument/2006/relationships/hyperlink" Id="rId13"/>
    <Relationship TargetMode="External" Target="https://www.legis.iowa.gov/docs/ico/chapter/17A.19.pdf" Type="http://schemas.openxmlformats.org/officeDocument/2006/relationships/hyperlink" Id="rId14"/>
    <Relationship TargetMode="External" Target="https://www.legis.iowa.gov/docs/ico/chapter/17A.20.pdf" Type="http://schemas.openxmlformats.org/officeDocument/2006/relationships/hyperlink" Id="rId15"/>
    <Relationship TargetMode="External" Target="https://www.legis.iowa.gov/docs/iac/rule/129.21.3.pdf" Type="http://schemas.openxmlformats.org/officeDocument/2006/relationships/hyperlink" Id="rId16"/>
    <Relationship TargetMode="External" Target="https://www.legis.iowa.gov/docs/ico/chapter/427.1.pdf" Type="http://schemas.openxmlformats.org/officeDocument/2006/relationships/hyperlink" Id="rId17"/>
    <Relationship TargetMode="External" Target="https://www.legis.iowa.gov/docs/ico/chapter/8B.1.pdf" Type="http://schemas.openxmlformats.org/officeDocument/2006/relationships/hyperlink" Id="rId18"/>
    <Relationship TargetMode="External" Target="https://www.legis.iowa.gov/docs/ico/chapter/427.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