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ADULT ORIENTATION AND ADJUSTMENT CENTER</w:t>
      </w:r>
    </w:p>
    <w:p>
      <w:pPr>
        <w:spacing w:before="0" w:after="0"/>
        <w:ind w:left="120"/>
        <w:jc w:val="center"/>
      </w:pPr>
      <w:r>
        <w:rPr>
          <w:rFonts w:ascii="Times New Roman" w:hAnsi="Times New Roman"/>
          <w:b w:val="false"/>
          <w:i w:val="false"/>
          <w:color w:val="000000"/>
          <w:sz w:val="14"/>
        </w:rPr>
        <w:t>[Prior to 7/1/87, see Blind, Commission for[160] rule 2.6]</w:t>
      </w:r>
    </w:p>
    <w:p>
      <w:pPr>
        <w:spacing w:before="0" w:after="0"/>
        <w:ind w:left="120"/>
        <w:jc w:val="center"/>
      </w:pPr>
      <w:r>
        <w:rPr>
          <w:rFonts w:ascii="Times New Roman" w:hAnsi="Times New Roman"/>
          <w:b w:val="false"/>
          <w:i w:val="false"/>
          <w:color w:val="000000"/>
          <w:sz w:val="14"/>
        </w:rPr>
        <w:t>[Prior to 9/21/88, see Blind, Division for the[423]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111—9.1</w:t>
      </w:r>
      <w:r>
        <w:rPr>
          <w:rFonts w:ascii="Times New Roman" w:hAnsi="Times New Roman"/>
          <w:b/>
          <w:i w:val="false"/>
          <w:color w:val="000000"/>
          <w:sz w:val="22"/>
        </w:rPr>
        <w:t xml:space="preserve">(216B) </w:t>
      </w:r>
      <w:r>
        <w:rPr>
          <w:rFonts w:ascii="Times New Roman" w:hAnsi="Times New Roman"/>
          <w:b/>
          <w:i w:val="false"/>
          <w:color w:val="000000"/>
          <w:sz w:val="22"/>
        </w:rPr>
        <w:t xml:space="preserve">Function. </w:t>
      </w:r>
      <w:r>
        <w:rPr>
          <w:rFonts w:ascii="Times New Roman" w:hAnsi="Times New Roman"/>
          <w:b w:val="false"/>
          <w:i w:val="false"/>
          <w:color w:val="000000"/>
          <w:sz w:val="22"/>
        </w:rPr>
        <w:t>The adult orientation and adjustment center is a residential rehabilitation program which provides intensive instruction in alternative techniques of blindness and in development of positive attitudes about blindness. The adult orientation and adjustment center also carries out public relations and educational programs in an effort to gain public awareness and recognition of the ability of blind persons to be in the mainstream of society.</w:t>
      </w:r>
    </w:p>
    <w:p>
      <w:pPr>
        <w:spacing w:before="0" w:after="0"/>
        <w:ind w:left="120"/>
        <w:jc w:val="both"/>
      </w:pPr>
      <w:r>
        <w:rPr>
          <w:rFonts w:ascii="Times New Roman" w:hAnsi="Times New Roman"/>
          <w:b/>
          <w:i w:val="false"/>
          <w:color w:val="000000"/>
          <w:sz w:val="22"/>
        </w:rPr>
        <w:t>111—9.2</w:t>
      </w:r>
      <w:r>
        <w:rPr>
          <w:rFonts w:ascii="Times New Roman" w:hAnsi="Times New Roman"/>
          <w:b/>
          <w:i w:val="false"/>
          <w:color w:val="000000"/>
          <w:sz w:val="22"/>
        </w:rPr>
        <w:t xml:space="preserve">(216B)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val="false"/>
          <w:color w:val="000000"/>
          <w:sz w:val="22"/>
        </w:rPr>
        <w:t>Enrollment in the adult orientation and adjustment center shall be limited to persons 17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val="false"/>
          <w:color w:val="000000"/>
          <w:sz w:val="22"/>
        </w:rPr>
        <w:t>Clients of vocational rehabilitation services or independent living rehabilitation services shall be eligible for admission to the adult orientation and adjustment center as specified in their individual plan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val="false"/>
          <w:color w:val="000000"/>
          <w:sz w:val="22"/>
        </w:rPr>
        <w:t>Persons who remain in the caseloads of vocational rehabilitation or independent living programs in other states shall not be accepted as students in the adult orientation and adjustment center, unless a formal written request from the out-of-state agency is received and approved by the commission. Clients of out-of-state agencies will be enrolled only when doing so would not deny training to an otherwise eligible client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0461C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111—9.3</w:t>
      </w:r>
      <w:r>
        <w:rPr>
          <w:rFonts w:ascii="Times New Roman" w:hAnsi="Times New Roman"/>
          <w:b/>
          <w:i w:val="false"/>
          <w:color w:val="000000"/>
          <w:sz w:val="22"/>
        </w:rPr>
        <w:t xml:space="preserve">(216B) </w:t>
      </w:r>
      <w:r>
        <w:rPr>
          <w:rFonts w:ascii="Times New Roman" w:hAnsi="Times New Roman"/>
          <w:b/>
          <w:i w:val="false"/>
          <w:color w:val="000000"/>
          <w:sz w:val="22"/>
        </w:rPr>
        <w:t xml:space="preserve">General program policies. </w:t>
      </w:r>
      <w:r>
        <w:rPr>
          <w:rFonts w:ascii="Times New Roman" w:hAnsi="Times New Roman"/>
          <w:b w:val="false"/>
          <w:i w:val="false"/>
          <w:color w:val="000000"/>
          <w:sz w:val="22"/>
        </w:rPr>
        <w:t>Student use of dog guides will not be allowed during program activities of the adult orientation and adjustment center. However, users of dog guides shall otherwise have access to all department facilities, subject to applicable state or federal laws and regulations.</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216B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9/17/79, Notice 6/13/79—published 10/3/79, effective 11/7/79]</w:t>
      </w:r>
    </w:p>
    <w:p>
      <w:pPr>
        <w:spacing w:before="0" w:after="0"/>
        <w:ind w:left="120"/>
        <w:jc w:val="center"/>
      </w:pPr>
      <w:r>
        <w:rPr>
          <w:rFonts w:ascii="Times New Roman" w:hAnsi="Times New Roman"/>
          <w:b w:val="false"/>
          <w:i w:val="false"/>
          <w:color w:val="000000"/>
          <w:sz w:val="21"/>
        </w:rPr>
        <w:t>[Filed 6/9/87, Notice 3/25/87—published 7/1/87, effective 8/5/87]</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2/1/90, Notice 11/15/89—published 2/21/90, effective 3/28/90]</w:t>
      </w:r>
    </w:p>
    <w:p>
      <w:pPr>
        <w:spacing w:before="0" w:after="0"/>
        <w:ind w:left="120"/>
        <w:jc w:val="center"/>
      </w:pPr>
      <w:r>
        <w:rPr>
          <w:rFonts w:ascii="Times New Roman" w:hAnsi="Times New Roman"/>
          <w:b w:val="false"/>
          <w:i w:val="false"/>
          <w:color w:val="000000"/>
          <w:sz w:val="21"/>
        </w:rPr>
        <w:t>[Filed 6/27/97, Notice 5/7/97—published 7/16/97, effective 8/20/97]</w:t>
      </w:r>
    </w:p>
    <w:p>
      <w:pPr>
        <w:spacing w:before="0" w:after="0"/>
        <w:ind w:left="120"/>
        <w:jc w:val="center"/>
      </w:pPr>
      <w:r>
        <w:rPr>
          <w:rFonts w:ascii="Times New Roman" w:hAnsi="Times New Roman"/>
          <w:b w:val="false"/>
          <w:i w:val="false"/>
          <w:color w:val="000000"/>
          <w:sz w:val="21"/>
        </w:rPr>
        <w:t>[Filed ARC 0461C</w:t>
      </w:r>
      <w:r>
        <w:rPr>
          <w:rFonts w:ascii="Times New Roman" w:hAnsi="Times New Roman"/>
          <w:b w:val="false"/>
          <w:i w:val="false"/>
          <w:color w:val="000000"/>
          <w:sz w:val="21"/>
        </w:rPr>
        <w:t xml:space="preserve"> (Notice ARC 0181C, IAB 6/27/12)</w:t>
      </w:r>
      <w:r>
        <w:rPr>
          <w:rFonts w:ascii="Times New Roman" w:hAnsi="Times New Roman"/>
          <w:b w:val="false"/>
          <w:i w:val="false"/>
          <w:color w:val="000000"/>
          <w:sz w:val="21"/>
        </w:rPr>
        <w:t>, IAB 11/28/12, effective 1/2/13]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B.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