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CONDUCT OF EMPLOYEES</w:t>
      </w:r>
    </w:p>
    <w:p>
      <w:pPr>
        <w:spacing w:before="0" w:after="0"/>
        <w:ind w:left="120"/>
        <w:jc w:val="center"/>
      </w:pPr>
      <w:r>
        <w:rPr>
          <w:rFonts w:ascii="Times New Roman" w:hAnsi="Times New Roman"/>
          <w:b w:val="false"/>
          <w:i w:val="false"/>
          <w:color w:val="000000"/>
          <w:sz w:val="14"/>
        </w:rPr>
        <w:t>[Prior to 11/5/86, Merit Employment Department [570]]</w:t>
      </w:r>
    </w:p>
    <w:p>
      <w:pPr>
        <w:spacing w:before="0" w:after="0"/>
        <w:ind w:left="120"/>
        <w:jc w:val="center"/>
      </w:pPr>
      <w:r>
        <w:rPr>
          <w:rFonts w:ascii="Times New Roman" w:hAnsi="Times New Roman"/>
          <w:b w:val="false"/>
          <w:i w:val="false"/>
          <w:color w:val="000000"/>
          <w:sz w:val="14"/>
        </w:rPr>
        <w:t>[Prior to 2/18/04, see 581—Ch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11—66.1</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w:t>
      </w:r>
      <w:r>
        <w:rPr>
          <w:rFonts w:ascii="Times New Roman" w:hAnsi="Times New Roman"/>
          <w:b w:val="false"/>
          <w:i w:val="false"/>
          <w:color w:val="000000"/>
          <w:sz w:val="22"/>
        </w:rPr>
        <w:t>Employees shall fulfill to the best of their ability the duties and responsibilities of the position to which appointed. In carrying out their official job duties, employees shall work for the appointing authority’s efficient and effective delivery of services. Employees shall perform assigned responsibilities in such a manner as neither to endanger their impartiality nor to give occasion for distrust or question of their impartiality.</w:t>
      </w:r>
    </w:p>
    <w:p>
      <w:pPr>
        <w:spacing w:before="210" w:after="0"/>
        <w:ind w:left="120"/>
        <w:jc w:val="both"/>
      </w:pPr>
      <w:r>
        <w:rPr>
          <w:rFonts w:ascii="Times New Roman" w:hAnsi="Times New Roman"/>
          <w:b/>
          <w:i w:val="false"/>
          <w:color w:val="000000"/>
          <w:sz w:val="22"/>
        </w:rPr>
        <w:t>11—66.2</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of goods or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11/10/04</w:t>
      </w:r>
      <w:r>
        <w:rPr>
          <w:rFonts w:ascii="Times New Roman" w:hAnsi="Times New Roman"/>
          <w:b w:val="false"/>
          <w:i w:val="false"/>
          <w:color w:val="000000"/>
          <w:sz w:val="22"/>
        </w:rPr>
        <w:t xml:space="preserve">, effective 10/20/04. See </w:t>
      </w:r>
      <w:hyperlink r:id="rId5">
        <w:r>
          <w:rPr>
            <w:rStyle w:val="Hyperlink"/>
            <w:rFonts w:ascii="Times New Roman" w:hAnsi="Times New Roman"/>
            <w:b w:val="false"/>
            <w:i w:val="false"/>
            <w:color w:val="000000"/>
            <w:sz w:val="22"/>
          </w:rPr>
          <w:t>rules 351—6.10(68B)</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351—6.12(68B)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11—1.7(68B)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11—66.3</w:t>
      </w:r>
      <w:r>
        <w:rPr>
          <w:rFonts w:ascii="Times New Roman" w:hAnsi="Times New Roman"/>
          <w:b/>
          <w:i w:val="false"/>
          <w:color w:val="000000"/>
          <w:sz w:val="22"/>
        </w:rPr>
        <w:t xml:space="preserve">(68B) </w:t>
      </w:r>
      <w:r>
        <w:rPr>
          <w:rFonts w:ascii="Times New Roman" w:hAnsi="Times New Roman"/>
          <w:b/>
          <w:i w:val="false"/>
          <w:color w:val="000000"/>
          <w:sz w:val="22"/>
        </w:rPr>
        <w:t xml:space="preserve">Outside employment or activity.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210" w:after="0"/>
        <w:ind w:left="120"/>
        <w:jc w:val="both"/>
      </w:pPr>
      <w:r>
        <w:rPr>
          <w:rFonts w:ascii="Times New Roman" w:hAnsi="Times New Roman"/>
          <w:b/>
          <w:i w:val="false"/>
          <w:color w:val="000000"/>
          <w:sz w:val="22"/>
        </w:rPr>
        <w:t>11—66.4</w:t>
      </w:r>
      <w:r>
        <w:rPr>
          <w:rFonts w:ascii="Times New Roman" w:hAnsi="Times New Roman"/>
          <w:b/>
          <w:i w:val="false"/>
          <w:color w:val="000000"/>
          <w:sz w:val="22"/>
        </w:rPr>
        <w:t xml:space="preserve">(8A) </w:t>
      </w:r>
      <w:r>
        <w:rPr>
          <w:rFonts w:ascii="Times New Roman" w:hAnsi="Times New Roman"/>
          <w:b/>
          <w:i w:val="false"/>
          <w:color w:val="000000"/>
          <w:sz w:val="22"/>
        </w:rPr>
        <w:t xml:space="preserve">Performance of duty. </w:t>
      </w:r>
      <w:r>
        <w:rPr>
          <w:rFonts w:ascii="Times New Roman" w:hAnsi="Times New Roman"/>
          <w:b w:val="false"/>
          <w:i w:val="false"/>
          <w:color w:val="000000"/>
          <w:sz w:val="22"/>
        </w:rPr>
        <w:t>Employees shall, during scheduled hours of work, devote their full time, attention and efforts to assigned duties and responsibilities subject to the Iowa Code and the Iowa Administrative Code. Continued employment is dependent upon the satisfactory performance of assigned duties and responsibilities, i.e., “meets job expectations,” as well as appropriate conduct as provided for in these rules and the work rules of their agency of employment. This rule shall not be interpreted to prevent the separation or reduction of employees because of the lack of funds or work, reorganization done in accordance with these rules, or the provisions of the Iowa Code or a collective bargaining agreement.</w:t>
      </w:r>
    </w:p>
    <w:p>
      <w:pPr>
        <w:spacing w:before="0" w:after="0"/>
        <w:ind w:left="120"/>
        <w:jc w:val="both"/>
      </w:pPr>
      <w:r>
        <w:rPr>
          <w:rFonts w:ascii="Times New Roman" w:hAnsi="Times New Roman"/>
          <w:b/>
          <w:i w:val="false"/>
          <w:color w:val="000000"/>
          <w:sz w:val="22"/>
        </w:rPr>
        <w:t>11—66.5</w:t>
      </w:r>
      <w:r>
        <w:rPr>
          <w:rFonts w:ascii="Times New Roman" w:hAnsi="Times New Roman"/>
          <w:b/>
          <w:i w:val="false"/>
          <w:color w:val="000000"/>
          <w:sz w:val="22"/>
        </w:rPr>
        <w:t xml:space="preserve">(8A) </w:t>
      </w:r>
      <w:r>
        <w:rPr>
          <w:rFonts w:ascii="Times New Roman" w:hAnsi="Times New Roman"/>
          <w:b/>
          <w:i w:val="false"/>
          <w:color w:val="000000"/>
          <w:sz w:val="22"/>
        </w:rPr>
        <w:t xml:space="preserve">Prohibitions relating to certain actions by state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66.5(1)</w:t>
      </w:r>
      <w:r>
        <w:rPr>
          <w:rFonts w:ascii="Times New Roman" w:hAnsi="Times New Roman"/>
          <w:b w:val="false"/>
          <w:i w:val="false"/>
          <w:color w:val="000000"/>
          <w:sz w:val="22"/>
        </w:rPr>
        <w:t> </w:t>
      </w:r>
      <w:r>
        <w:rPr>
          <w:rFonts w:ascii="Times New Roman" w:hAnsi="Times New Roman"/>
          <w:b w:val="false"/>
          <w:i w:val="false"/>
          <w:color w:val="000000"/>
          <w:sz w:val="22"/>
        </w:rPr>
        <w:t>Employees shall not be prohibited from disclosing any information to members or employees of the general assembly, or to any other public official or law enforcement agency if the employee believes the information is evidence of the violation of a law, rule, mismanagement, a gross abuse of funds, an abuse of authority, or a substantial and specific danger to public health or safety. An employee need not inform the appointing authority about such disclosure unless the employee presented the information as the official position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does not apply to the disclosure of information prohibited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are prohibited from any reprisals in the form of a disciplinary action or failure to appoint or promote an employee who discloses information, fails to inform the appointing authority of the disclosure of information, or who declines to contribute to a charity or organization. Reprisals for disclosing information shall be subject to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66.5(2)</w:t>
      </w:r>
      <w:r>
        <w:rPr>
          <w:rFonts w:ascii="Times New Roman" w:hAnsi="Times New Roman"/>
          <w:b w:val="false"/>
          <w:i w:val="false"/>
          <w:color w:val="000000"/>
          <w:sz w:val="22"/>
        </w:rPr>
        <w:t> </w:t>
      </w:r>
      <w:r>
        <w:rPr>
          <w:rFonts w:ascii="Times New Roman" w:hAnsi="Times New Roman"/>
          <w:b w:val="false"/>
          <w:i w:val="false"/>
          <w:color w:val="000000"/>
          <w:sz w:val="22"/>
        </w:rPr>
        <w:t>Employees may contact the office of ombudsman to report violations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sections </w:t>
      </w:r>
      <w:hyperlink r:id="rId8">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9/17/70]</w:t>
      </w:r>
    </w:p>
    <w:p>
      <w:pPr>
        <w:spacing w:before="0" w:after="0"/>
        <w:ind w:left="120"/>
        <w:jc w:val="center"/>
      </w:pPr>
      <w:r>
        <w:rPr>
          <w:rFonts w:ascii="Times New Roman" w:hAnsi="Times New Roman"/>
          <w:b w:val="false"/>
          <w:i w:val="false"/>
          <w:color w:val="000000"/>
          <w:sz w:val="21"/>
        </w:rPr>
        <w:t>[Filed 2/13/81, Notice 11/26/80—published 3/4/81, effective 4/8/81]</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3/13/92, Notice 8/21/91—published 4/1/92, effective 5/8/92]</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emergency 10/20/04—published 11/10/04, effective 10/20/04]</w:t>
      </w:r>
    </w:p>
    <w:p>
      <w:pPr>
        <w:spacing w:before="0" w:after="0"/>
        <w:ind w:left="120"/>
        <w:jc w:val="center"/>
      </w:pPr>
      <w:r>
        <w:rPr>
          <w:rFonts w:ascii="Times New Roman" w:hAnsi="Times New Roman"/>
          <w:b w:val="false"/>
          <w:i w:val="false"/>
          <w:color w:val="000000"/>
          <w:sz w:val="21"/>
        </w:rPr>
        <w:t>[Filed ARC 7637B</w:t>
      </w:r>
      <w:r>
        <w:rPr>
          <w:rFonts w:ascii="Times New Roman" w:hAnsi="Times New Roman"/>
          <w:b w:val="false"/>
          <w:i w:val="false"/>
          <w:color w:val="000000"/>
          <w:sz w:val="21"/>
        </w:rPr>
        <w:t xml:space="preserve"> (Notice ARC 7501B, IAB 1/14/09)</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351.6.10.pdf" Type="http://schemas.openxmlformats.org/officeDocument/2006/relationships/hyperlink" Id="rId5"/>
    <Relationship TargetMode="External" Target="https://www.legis.iowa.gov/docs/iac/rule/351.6.12.pdf" Type="http://schemas.openxmlformats.org/officeDocument/2006/relationships/hyperlink" Id="rId6"/>
    <Relationship TargetMode="External" Target="https://www.legis.iowa.gov/docs/iac/rule/11.1.7.pdf" Type="http://schemas.openxmlformats.org/officeDocument/2006/relationships/hyperlink" Id="rId7"/>
    <Relationship TargetMode="External" Target="https://www.legis.iowa.gov/docs/ico/chapter/8A.413.pdf" Type="http://schemas.openxmlformats.org/officeDocument/2006/relationships/hyperlink" Id="rId8"/>
    <Relationship TargetMode="External" Target="https://www.legis.iowa.gov/docs/ico/chapter/68B.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