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PERFORMANCE REVIEW</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3/17/04, see 581—Ch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11—62.1</w:t>
      </w:r>
      <w:r>
        <w:rPr>
          <w:rFonts w:ascii="Times New Roman" w:hAnsi="Times New Roman"/>
          <w:b/>
          <w:i w:val="false"/>
          <w:color w:val="000000"/>
          <w:sz w:val="22"/>
        </w:rPr>
        <w:t xml:space="preserve">(8A) </w:t>
      </w:r>
      <w:r>
        <w:rPr>
          <w:rFonts w:ascii="Times New Roman" w:hAnsi="Times New Roman"/>
          <w:b/>
          <w:i w:val="false"/>
          <w:color w:val="000000"/>
          <w:sz w:val="22"/>
        </w:rPr>
        <w:t xml:space="preserve">System established. </w:t>
      </w:r>
      <w:r>
        <w:rPr>
          <w:rFonts w:ascii="Times New Roman" w:hAnsi="Times New Roman"/>
          <w:b w:val="false"/>
          <w:i w:val="false"/>
          <w:color w:val="000000"/>
          <w:sz w:val="22"/>
        </w:rPr>
        <w:t xml:space="preserve">The director shall establish, administer and maintain a uniform system of performance planning and evaluation to be applied to all employees in the executive branch of state government, excluding board of regents employees, and shall prescribe forms and procedures for its use. Such forms and procedures shall be in accordance with the accountable government Act pursuant to Iowa Code section </w:t>
      </w:r>
      <w:hyperlink r:id="rId5">
        <w:r>
          <w:rPr>
            <w:rStyle w:val="Hyperlink"/>
            <w:rFonts w:ascii="Times New Roman" w:hAnsi="Times New Roman"/>
            <w:b w:val="false"/>
            <w:i w:val="false"/>
            <w:color w:val="000000"/>
            <w:sz w:val="22"/>
          </w:rPr>
          <w:t>8E.207, subsection 2</w:t>
        </w:r>
      </w:hyperlink>
      <w:r>
        <w:rPr>
          <w:rFonts w:ascii="Times New Roman" w:hAnsi="Times New Roman"/>
          <w:b w:val="false"/>
          <w:i w:val="false"/>
          <w:color w:val="000000"/>
          <w:sz w:val="22"/>
        </w:rPr>
        <w:t>. Appointing authorities shall determine and assign the job duties to be performed by employees.</w:t>
      </w:r>
    </w:p>
    <w:p>
      <w:pPr>
        <w:spacing w:before="0" w:after="0"/>
        <w:ind w:left="120"/>
        <w:jc w:val="both"/>
      </w:pPr>
      <w:r>
        <w:rPr>
          <w:rFonts w:ascii="Times New Roman" w:hAnsi="Times New Roman"/>
          <w:b/>
          <w:i w:val="false"/>
          <w:color w:val="000000"/>
          <w:sz w:val="22"/>
        </w:rPr>
        <w:t>11—62.2</w:t>
      </w:r>
      <w:r>
        <w:rPr>
          <w:rFonts w:ascii="Times New Roman" w:hAnsi="Times New Roman"/>
          <w:b/>
          <w:i w:val="false"/>
          <w:color w:val="000000"/>
          <w:sz w:val="22"/>
        </w:rPr>
        <w:t xml:space="preserve">(8A) </w:t>
      </w:r>
      <w:r>
        <w:rPr>
          <w:rFonts w:ascii="Times New Roman" w:hAnsi="Times New Roman"/>
          <w:b/>
          <w:i w:val="false"/>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color w:val="000000"/>
          <w:sz w:val="22"/>
        </w:rPr>
        <w:t xml:space="preserve">Performance plan. </w:t>
      </w:r>
      <w:r>
        <w:rPr>
          <w:rFonts w:ascii="Times New Roman" w:hAnsi="Times New Roman"/>
          <w:b w:val="false"/>
          <w:i w:val="false"/>
          <w:color w:val="000000"/>
          <w:sz w:val="22"/>
        </w:rPr>
        <w:t>The individual employee performance plan shall be based on the responsibilities, strategies or goals assigned during the rating period and shall include the standards or expectations, including action steps, performance criteria, and timetables, required for performance to be considered as meeting job expectations. The individual employee performance plan shall be given to and discussed with the employee at the start of the rating period. Significant changes in responsibilities, standards or expectations that occur during the rating period shall be included in the individual employee performance plan, and a revised copy shall be given to and discussed with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 </w:t>
      </w:r>
      <w:r>
        <w:rPr>
          <w:rFonts w:ascii="Times New Roman" w:hAnsi="Times New Roman"/>
          <w:b w:val="false"/>
          <w:i w:val="false"/>
          <w:color w:val="000000"/>
          <w:sz w:val="22"/>
        </w:rPr>
        <w:t>A performance evaluation shall be prepared for each employee at least every 12 months. Additional evaluations may be prepared at the discretion of the supervisor. Ratings on the evaluation form are to be accompanied by descriptive comments supporting the ratings. The evaluation may also include job-related comments concerning achievements or areas of strength, areas for improvement, and training/development plans. The supervisor or team shall discuss the evaluation with the employee, and the employee shall be given the opportunity to attach written comments. Periods of service during FMLA, workers’ compensation, military, or educational leave shall be considered as meeting job expectations.</w:t>
      </w:r>
    </w:p>
    <w:p>
      <w:pPr>
        <w:spacing w:before="0" w:after="0"/>
        <w:ind w:left="120"/>
        <w:jc w:val="both"/>
      </w:pPr>
      <w:r>
        <w:rPr>
          <w:rFonts w:ascii="Times New Roman" w:hAnsi="Times New Roman"/>
          <w:b w:val="false"/>
          <w:i w:val="false"/>
          <w:color w:val="000000"/>
          <w:sz w:val="22"/>
        </w:rPr>
        <w:t>Exit performance reviews shall be completed by the former supervisor on or before the last day before the movement of an employee to employment in another section, bureau, division or agency of state government. This review shall be for the period between the previous review up to the movement to the other position. A copy shall be forwarded to the new supervisor of the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11—62.3</w:t>
      </w:r>
      <w:r>
        <w:rPr>
          <w:rFonts w:ascii="Times New Roman" w:hAnsi="Times New Roman"/>
          <w:b/>
          <w:i w:val="false"/>
          <w:color w:val="000000"/>
          <w:sz w:val="22"/>
        </w:rPr>
        <w:t xml:space="preserve">(8A) </w:t>
      </w:r>
      <w:r>
        <w:rPr>
          <w:rFonts w:ascii="Times New Roman" w:hAnsi="Times New Roman"/>
          <w:b/>
          <w:i w:val="false"/>
          <w:color w:val="000000"/>
          <w:sz w:val="22"/>
        </w:rPr>
        <w:t xml:space="preserve">Copies of records. </w:t>
      </w:r>
      <w:r>
        <w:rPr>
          <w:rFonts w:ascii="Times New Roman" w:hAnsi="Times New Roman"/>
          <w:b w:val="false"/>
          <w:i w:val="false"/>
          <w:color w:val="000000"/>
          <w:sz w:val="22"/>
        </w:rPr>
        <w:t xml:space="preserve">The employee shall receive a copy of each individual employee performance plan and evaluation. The originals shall be retained by the employee’s agency in accordance with the policies of the department. The performance evaluation and attachments are confidential records within the meaning of Iowa Code section </w:t>
      </w:r>
      <w:hyperlink r:id="rId6">
        <w:r>
          <w:rPr>
            <w:rStyle w:val="Hyperlink"/>
            <w:rFonts w:ascii="Times New Roman" w:hAnsi="Times New Roman"/>
            <w:b w:val="false"/>
            <w:i w:val="false"/>
            <w:color w:val="000000"/>
            <w:sz w:val="22"/>
          </w:rPr>
          <w:t>22.7, subsection 11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8E.207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9, 1970]</w:t>
      </w:r>
    </w:p>
    <w:p>
      <w:pPr>
        <w:spacing w:before="0" w:after="0"/>
        <w:ind w:left="120"/>
        <w:jc w:val="center"/>
      </w:pPr>
      <w:r>
        <w:rPr>
          <w:rFonts w:ascii="Times New Roman" w:hAnsi="Times New Roman"/>
          <w:b w:val="false"/>
          <w:i w:val="false"/>
          <w:color w:val="000000"/>
          <w:sz w:val="21"/>
        </w:rPr>
        <w:t>[Filed 4/27/77, Notice 3/23/77—published 5/18/77, effective 6/22/77]</w:t>
      </w:r>
    </w:p>
    <w:p>
      <w:pPr>
        <w:spacing w:before="0" w:after="0"/>
        <w:ind w:left="120"/>
        <w:jc w:val="center"/>
      </w:pPr>
      <w:r>
        <w:rPr>
          <w:rFonts w:ascii="Times New Roman" w:hAnsi="Times New Roman"/>
          <w:b w:val="false"/>
          <w:i w:val="false"/>
          <w:color w:val="000000"/>
          <w:sz w:val="21"/>
        </w:rPr>
        <w:t>[Filed 1/2/81, Notice 10/1/80—published 1/21/81, effective 2/25/81]</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2/18/04, Notice 1/7/04—published 3/17/04, effective 4/21/04]</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E.20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8A.413.pdf" Type="http://schemas.openxmlformats.org/officeDocument/2006/relationships/hyperlink" Id="rId7"/>
    <Relationship TargetMode="External" Target="https://www.legis.iowa.gov/docs/ico/chapter/8E.20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