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PROBATIONARY PERIOD</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11—58.1</w:t>
      </w:r>
      <w:r>
        <w:rPr>
          <w:rFonts w:ascii="Times New Roman" w:hAnsi="Times New Roman"/>
          <w:b/>
          <w:i w:val="false"/>
          <w:color w:val="000000"/>
          <w:sz w:val="22"/>
        </w:rPr>
        <w:t xml:space="preserve">(8A) </w:t>
      </w:r>
      <w:r>
        <w:rPr>
          <w:rFonts w:ascii="Times New Roman" w:hAnsi="Times New Roman"/>
          <w:b/>
          <w:i w:val="false"/>
          <w:color w:val="000000"/>
          <w:sz w:val="22"/>
        </w:rPr>
        <w:t xml:space="preserve">Duration. </w:t>
      </w:r>
      <w:r>
        <w:rPr>
          <w:rFonts w:ascii="Times New Roman" w:hAnsi="Times New Roman"/>
          <w:b w:val="false"/>
          <w:i w:val="false"/>
          <w:color w:val="000000"/>
          <w:sz w:val="22"/>
        </w:rPr>
        <w:t>All original full-time or part-time appointments to permanent positions shall require a six-month period of probationary status. Appointments to peace officer positions at the department of public safety require a 12-month probationary period following appointment. Employees with probationary status shall not be eligible for promotion, reinstatement following separation, or other rights to positions unless provided for in this chapter, nor have reduction in force, recall, or appeal rights.</w:t>
      </w:r>
    </w:p>
    <w:p>
      <w:pPr>
        <w:spacing w:before="0" w:after="0"/>
        <w:ind w:left="120"/>
        <w:jc w:val="both"/>
      </w:pPr>
      <w:r>
        <w:rPr>
          <w:rFonts w:ascii="Times New Roman" w:hAnsi="Times New Roman"/>
          <w:b w:val="false"/>
          <w:i w:val="false"/>
          <w:color w:val="000000"/>
          <w:sz w:val="22"/>
        </w:rPr>
        <w:t>A six-month period of probationary status may, at the discretion of the appointing authority and with notice to the employee and the director, be required upon reinstatement, and all rules regarding probationary status shall apply during that period.</w:t>
      </w:r>
    </w:p>
    <w:p>
      <w:pPr>
        <w:spacing w:before="0" w:after="0"/>
        <w:ind w:left="120"/>
        <w:jc w:val="both"/>
      </w:pPr>
      <w:r>
        <w:rPr>
          <w:rFonts w:ascii="Times New Roman" w:hAnsi="Times New Roman"/>
          <w:b w:val="false"/>
          <w:i w:val="false"/>
          <w:color w:val="000000"/>
          <w:sz w:val="22"/>
        </w:rPr>
        <w:t>The provisions of this chapter shall apply to all executive branch employees, except employees of the board of regents, unless collective bargaining agreements provide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11—58.2</w:t>
      </w:r>
      <w:r>
        <w:rPr>
          <w:rFonts w:ascii="Times New Roman" w:hAnsi="Times New Roman"/>
          <w:b/>
          <w:i w:val="false"/>
          <w:color w:val="000000"/>
          <w:sz w:val="22"/>
        </w:rPr>
        <w:t xml:space="preserve">(8A) </w:t>
      </w:r>
      <w:r>
        <w:rPr>
          <w:rFonts w:ascii="Times New Roman" w:hAnsi="Times New Roman"/>
          <w:b/>
          <w:i w:val="false"/>
          <w:color w:val="000000"/>
          <w:sz w:val="22"/>
        </w:rPr>
        <w:t xml:space="preserve">Disciplinary actions. </w:t>
      </w:r>
      <w:r>
        <w:rPr>
          <w:rFonts w:ascii="Times New Roman" w:hAnsi="Times New Roman"/>
          <w:b w:val="false"/>
          <w:i w:val="false"/>
          <w:color w:val="000000"/>
          <w:sz w:val="22"/>
        </w:rPr>
        <w:t>In addition to less severe progressive discipline measures, the appointing authority may demote, suspend, reduce pay within the same pay grade, or discharge an employee during the period of probationary status without right of appeal. The appointing authority shall notify the employee in writing of the effective date of the action, and in the case of a suspension or reduction in pay, the duration of the action. In no case shall suspension extend beyond 30 calendar days, nor beyond the end of the probationary period. A copy of the notice shall be sent to the director by the appointing authority.</w:t>
      </w:r>
    </w:p>
    <w:p>
      <w:pPr>
        <w:spacing w:before="0" w:after="0"/>
        <w:ind w:left="120"/>
        <w:jc w:val="both"/>
      </w:pPr>
      <w:r>
        <w:rPr>
          <w:rFonts w:ascii="Times New Roman" w:hAnsi="Times New Roman"/>
          <w:b w:val="false"/>
          <w:i w:val="false"/>
          <w:color w:val="000000"/>
          <w:sz w:val="22"/>
        </w:rPr>
        <w:t xml:space="preserve">Disciplinary demotion during the period of probationary status to a position covered by merit system provisions shall require that the employee meet the minimum qualifications for the class. If demoted, the total required period of probationary status shall include the time spent in the higher class. The pay shall be set in accordance with </w:t>
      </w:r>
      <w:hyperlink r:id="rId5">
        <w:r>
          <w:rPr>
            <w:rStyle w:val="Hyperlink"/>
            <w:rFonts w:ascii="Times New Roman" w:hAnsi="Times New Roman"/>
            <w:b w:val="false"/>
            <w:i w:val="false"/>
            <w:color w:val="000000"/>
            <w:sz w:val="22"/>
          </w:rPr>
          <w:t>11—subrule 53.6(7)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11—58.3</w:t>
      </w:r>
      <w:r>
        <w:rPr>
          <w:rFonts w:ascii="Times New Roman" w:hAnsi="Times New Roman"/>
          <w:b/>
          <w:i w:val="false"/>
          <w:color w:val="000000"/>
          <w:sz w:val="22"/>
        </w:rPr>
        <w:t xml:space="preserve">(8A) </w:t>
      </w:r>
      <w:r>
        <w:rPr>
          <w:rFonts w:ascii="Times New Roman" w:hAnsi="Times New Roman"/>
          <w:b/>
          <w:i w:val="false"/>
          <w:color w:val="000000"/>
          <w:sz w:val="22"/>
        </w:rPr>
        <w:t xml:space="preserve">Voluntary demotion during the period of probationary status. </w:t>
      </w:r>
      <w:r>
        <w:rPr>
          <w:rFonts w:ascii="Times New Roman" w:hAnsi="Times New Roman"/>
          <w:b w:val="false"/>
          <w:i w:val="false"/>
          <w:color w:val="000000"/>
          <w:sz w:val="22"/>
        </w:rPr>
        <w:t xml:space="preserve">Voluntary demotion during the period of probationary status to a position covered by merit system provisions shall require that the employee meet the minimum qualifications for the class. The total required period of probationary status shall include the time spent in the higher class. The pay shall be set in accordance with </w:t>
      </w:r>
      <w:hyperlink r:id="rId6">
        <w:r>
          <w:rPr>
            <w:rStyle w:val="Hyperlink"/>
            <w:rFonts w:ascii="Times New Roman" w:hAnsi="Times New Roman"/>
            <w:b w:val="false"/>
            <w:i w:val="false"/>
            <w:color w:val="000000"/>
            <w:sz w:val="22"/>
          </w:rPr>
          <w:t>11—subrule 53.6(7)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11—58.4</w:t>
      </w:r>
      <w:r>
        <w:rPr>
          <w:rFonts w:ascii="Times New Roman" w:hAnsi="Times New Roman"/>
          <w:b/>
          <w:i w:val="false"/>
          <w:color w:val="000000"/>
          <w:sz w:val="22"/>
        </w:rPr>
        <w:t xml:space="preserve">(8A) </w:t>
      </w:r>
      <w:r>
        <w:rPr>
          <w:rFonts w:ascii="Times New Roman" w:hAnsi="Times New Roman"/>
          <w:b/>
          <w:i w:val="false"/>
          <w:color w:val="000000"/>
          <w:sz w:val="22"/>
        </w:rPr>
        <w:t xml:space="preserve">Promotion during the period of probationary status. </w:t>
      </w:r>
      <w:r>
        <w:rPr>
          <w:rFonts w:ascii="Times New Roman" w:hAnsi="Times New Roman"/>
          <w:b w:val="false"/>
          <w:i w:val="false"/>
          <w:color w:val="000000"/>
          <w:sz w:val="22"/>
        </w:rPr>
        <w:t xml:space="preserve">A probationary employee who is promoted during the period of probationary status to a position covered by merit system provisions shall be hired in accordance with 11—subrule 56.3(3). The total required probationary period shall include the probationary service in the class from which the employee is promoted. The rate of pay shall be set in accordance with </w:t>
      </w:r>
      <w:hyperlink r:id="rId7">
        <w:r>
          <w:rPr>
            <w:rStyle w:val="Hyperlink"/>
            <w:rFonts w:ascii="Times New Roman" w:hAnsi="Times New Roman"/>
            <w:b w:val="false"/>
            <w:i w:val="false"/>
            <w:color w:val="000000"/>
            <w:sz w:val="22"/>
          </w:rPr>
          <w:t>11—subrule 53.6(6)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11—58.5</w:t>
      </w:r>
      <w:r>
        <w:rPr>
          <w:rFonts w:ascii="Times New Roman" w:hAnsi="Times New Roman"/>
          <w:b/>
          <w:i w:val="false"/>
          <w:color w:val="000000"/>
          <w:sz w:val="22"/>
        </w:rPr>
        <w:t xml:space="preserve">(8A) </w:t>
      </w:r>
      <w:r>
        <w:rPr>
          <w:rFonts w:ascii="Times New Roman" w:hAnsi="Times New Roman"/>
          <w:b/>
          <w:i w:val="false"/>
          <w:color w:val="000000"/>
          <w:sz w:val="22"/>
        </w:rPr>
        <w:t xml:space="preserve">Transfer during the period of probationary status. </w:t>
      </w:r>
      <w:r>
        <w:rPr>
          <w:rFonts w:ascii="Times New Roman" w:hAnsi="Times New Roman"/>
          <w:b w:val="false"/>
          <w:i w:val="false"/>
          <w:color w:val="000000"/>
          <w:sz w:val="22"/>
        </w:rPr>
        <w:t xml:space="preserve">A probationary employee who is transferred during the period of probationary status by the appointing authority to a position covered by merit system provisions must meet the minimum qualifications required for the class. The total required period of probationary status shall include the probationary time spent in the class from which transferred. The rate of pay shall be set in accordance with </w:t>
      </w:r>
      <w:hyperlink r:id="rId8">
        <w:r>
          <w:rPr>
            <w:rStyle w:val="Hyperlink"/>
            <w:rFonts w:ascii="Times New Roman" w:hAnsi="Times New Roman"/>
            <w:b w:val="false"/>
            <w:i w:val="false"/>
            <w:color w:val="000000"/>
            <w:sz w:val="22"/>
          </w:rPr>
          <w:t>11—subrule 53.6(8)</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11—58.6</w:t>
      </w:r>
      <w:r>
        <w:rPr>
          <w:rFonts w:ascii="Times New Roman" w:hAnsi="Times New Roman"/>
          <w:b/>
          <w:i w:val="false"/>
          <w:color w:val="000000"/>
          <w:sz w:val="22"/>
        </w:rPr>
        <w:t xml:space="preserve">(8A) </w:t>
      </w:r>
      <w:r>
        <w:rPr>
          <w:rFonts w:ascii="Times New Roman" w:hAnsi="Times New Roman"/>
          <w:b/>
          <w:i w:val="false"/>
          <w:color w:val="000000"/>
          <w:sz w:val="22"/>
        </w:rPr>
        <w:t xml:space="preserve">Reclassification during the period of probationary status. </w:t>
      </w:r>
      <w:r>
        <w:rPr>
          <w:rFonts w:ascii="Times New Roman" w:hAnsi="Times New Roman"/>
          <w:b w:val="false"/>
          <w:i w:val="false"/>
          <w:color w:val="000000"/>
          <w:sz w:val="22"/>
        </w:rPr>
        <w:t xml:space="preserve">An employee who is reclassified during the period of probationary status need only meet the minimum qualifications for the class. The total required period of probationary status shall include the probationary time spent in the previous class. The rate of pay shall be in accordance with </w:t>
      </w:r>
      <w:hyperlink r:id="rId9">
        <w:r>
          <w:rPr>
            <w:rStyle w:val="Hyperlink"/>
            <w:rFonts w:ascii="Times New Roman" w:hAnsi="Times New Roman"/>
            <w:b w:val="false"/>
            <w:i w:val="false"/>
            <w:color w:val="000000"/>
            <w:sz w:val="22"/>
          </w:rPr>
          <w:t>11—subrule 53.6(9)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11—58.7</w:t>
      </w:r>
      <w:r>
        <w:rPr>
          <w:rFonts w:ascii="Times New Roman" w:hAnsi="Times New Roman"/>
          <w:b/>
          <w:i w:val="false"/>
          <w:color w:val="000000"/>
          <w:sz w:val="22"/>
        </w:rPr>
        <w:t xml:space="preserve">(8A) </w:t>
      </w:r>
      <w:r>
        <w:rPr>
          <w:rFonts w:ascii="Times New Roman" w:hAnsi="Times New Roman"/>
          <w:b/>
          <w:i w:val="false"/>
          <w:color w:val="000000"/>
          <w:sz w:val="22"/>
        </w:rPr>
        <w:t xml:space="preserve">Leave without pay during the period of probationary status. </w:t>
      </w:r>
      <w:r>
        <w:rPr>
          <w:rFonts w:ascii="Times New Roman" w:hAnsi="Times New Roman"/>
          <w:b w:val="false"/>
          <w:i w:val="false"/>
          <w:color w:val="000000"/>
          <w:sz w:val="22"/>
        </w:rPr>
        <w:t>A probationary employee may be granted leave without pay at the appointing authority’s discretion in accordance with these rules. When a probationary employee is granted leave without pay, the employee’s probationary period shall not be extended by the amount of leave granted unless the leave is for education or training.</w:t>
      </w:r>
    </w:p>
    <w:p>
      <w:pPr>
        <w:spacing w:before="210" w:after="0"/>
        <w:ind w:left="120"/>
        <w:jc w:val="both"/>
      </w:pPr>
      <w:r>
        <w:rPr>
          <w:rFonts w:ascii="Times New Roman" w:hAnsi="Times New Roman"/>
          <w:b/>
          <w:i w:val="false"/>
          <w:color w:val="000000"/>
          <w:sz w:val="22"/>
        </w:rPr>
        <w:t>11—58.8</w:t>
      </w:r>
      <w:r>
        <w:rPr>
          <w:rFonts w:ascii="Times New Roman" w:hAnsi="Times New Roman"/>
          <w:b/>
          <w:i w:val="false"/>
          <w:color w:val="000000"/>
          <w:sz w:val="22"/>
        </w:rPr>
        <w:t xml:space="preserve">(8A) </w:t>
      </w:r>
      <w:r>
        <w:rPr>
          <w:rFonts w:ascii="Times New Roman" w:hAnsi="Times New Roman"/>
          <w:b/>
          <w:i w:val="false"/>
          <w:color w:val="000000"/>
          <w:sz w:val="22"/>
        </w:rPr>
        <w:t xml:space="preserve">Vacation and sick leave during the period of probationary status. </w:t>
      </w:r>
      <w:r>
        <w:rPr>
          <w:rFonts w:ascii="Times New Roman" w:hAnsi="Times New Roman"/>
          <w:b w:val="false"/>
          <w:i w:val="false"/>
          <w:color w:val="000000"/>
          <w:sz w:val="22"/>
        </w:rPr>
        <w:t>Probationary employees shall accrue and may be granted vacation and sick leave in accordance with the provisions of these rules.</w:t>
      </w:r>
    </w:p>
    <w:p>
      <w:pPr>
        <w:spacing w:before="0" w:after="0"/>
        <w:ind w:left="120"/>
        <w:jc w:val="both"/>
      </w:pPr>
      <w:r>
        <w:rPr>
          <w:rFonts w:ascii="Times New Roman" w:hAnsi="Times New Roman"/>
          <w:b/>
          <w:i w:val="false"/>
          <w:color w:val="000000"/>
          <w:sz w:val="22"/>
        </w:rPr>
        <w:t>11—58.9</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period for promoted permanent employees. </w:t>
      </w:r>
      <w:r>
        <w:rPr>
          <w:rFonts w:ascii="Times New Roman" w:hAnsi="Times New Roman"/>
          <w:b w:val="false"/>
          <w:i w:val="false"/>
          <w:color w:val="000000"/>
          <w:sz w:val="22"/>
        </w:rPr>
        <w:t>This rule shall only apply to promotion within an appointing authority’s department and to positions covered by merit system provisions.</w:t>
      </w:r>
    </w:p>
    <w:p>
      <w:pPr>
        <w:spacing w:before="0" w:after="0"/>
        <w:ind w:left="120"/>
        <w:jc w:val="both"/>
      </w:pPr>
      <w:r>
        <w:rPr>
          <w:rFonts w:ascii="Times New Roman" w:hAnsi="Times New Roman"/>
          <w:b w:val="false"/>
          <w:i w:val="false"/>
          <w:color w:val="000000"/>
          <w:sz w:val="22"/>
        </w:rPr>
        <w:t>An employee may be required to serve a six-month probationary period in the class to which promoted before the promotion becomes permanent.</w:t>
      </w:r>
    </w:p>
    <w:p>
      <w:pPr>
        <w:spacing w:before="0" w:after="0"/>
        <w:ind w:left="120"/>
        <w:jc w:val="both"/>
      </w:pPr>
      <w:r>
        <w:rPr>
          <w:rFonts w:ascii="Times New Roman" w:hAnsi="Times New Roman"/>
          <w:b w:val="false"/>
          <w:i w:val="false"/>
          <w:color w:val="000000"/>
          <w:sz w:val="22"/>
        </w:rPr>
        <w:t>At any time during the promotional probationary period the appointing authority may return the employee to the formerly held class. Return under this probationary period rule shall not be considered a demotion and there shall be no right to an appeal. The former salary and pay increase eligibility date shall be restored with credit allowed for the time spent in the higher class.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8A.401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8A.415 to 8A.418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8A.453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8A.456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8A.458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14, 1969; amended November 5, 1970, April 14, 1971, July 26, 1974]</w:t>
      </w:r>
    </w:p>
    <w:p>
      <w:pPr>
        <w:spacing w:before="0" w:after="0"/>
        <w:ind w:left="120"/>
        <w:jc w:val="center"/>
      </w:pPr>
      <w:r>
        <w:rPr>
          <w:rFonts w:ascii="Times New Roman" w:hAnsi="Times New Roman"/>
          <w:b w:val="false"/>
          <w:i w:val="false"/>
          <w:color w:val="000000"/>
          <w:sz w:val="21"/>
        </w:rPr>
        <w:t>[Filed 2/28/80, Notice 12/26/79—published 3/19/80, effective 4/23/80]</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pBdr>
          <w:bottom w:space="2"/>
        </w:pBdr>
        <w:spacing w:before="0" w:after="0"/>
        <w:ind w:left="120"/>
        <w:jc w:val="both"/>
      </w:pPr>
      <w:r>
        <w:rPr>
          <w:rFonts w:ascii="Times New Roman" w:hAnsi="Times New Roman"/>
          <w:b w:val="false"/>
          <w:i w:val="false"/>
          <w:color w:val="000000"/>
          <w:sz w:val="22"/>
        </w:rPr>
        <w:t>Effective date of 9.1, 9.3, 9.4 and 9.5 delayed 70 days by Administrative Rules Review Committee. Delay lifted by Committee on 2/8/83.</w:t>
      </w:r>
      <w:r>
        <w:br/>
      </w:r>
      <w:r>
        <w:rPr>
          <w:rFonts w:ascii="Times New Roman" w:hAnsi="Times New Roman"/>
          <w:b w:val="false"/>
          <w:i w:val="false"/>
          <w:color w:val="000000"/>
          <w:sz w:val="22"/>
        </w:rPr>
        <w:t>See details following chapter analysis.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53.6.pdf" Type="http://schemas.openxmlformats.org/officeDocument/2006/relationships/hyperlink" Id="rId5"/>
    <Relationship TargetMode="External" Target="https://www.legis.iowa.gov/docs/iac/rule/11.53.6.pdf" Type="http://schemas.openxmlformats.org/officeDocument/2006/relationships/hyperlink" Id="rId6"/>
    <Relationship TargetMode="External" Target="https://www.legis.iowa.gov/docs/iac/rule/11.53.6.pdf" Type="http://schemas.openxmlformats.org/officeDocument/2006/relationships/hyperlink" Id="rId7"/>
    <Relationship TargetMode="External" Target="https://www.legis.iowa.gov/docs/iac/rule/11.53.6.pdf" Type="http://schemas.openxmlformats.org/officeDocument/2006/relationships/hyperlink" Id="rId8"/>
    <Relationship TargetMode="External" Target="https://www.legis.iowa.gov/docs/iac/rule/11.53.6.pdf" Type="http://schemas.openxmlformats.org/officeDocument/2006/relationships/hyperlink" Id="rId9"/>
    <Relationship TargetMode="External" Target="https://www.legis.iowa.gov/docs/ico/chapter/8A.401.pdf" Type="http://schemas.openxmlformats.org/officeDocument/2006/relationships/hyperlink" Id="rId10"/>
    <Relationship TargetMode="External" Target="https://www.legis.iowa.gov/docs/ico/chapter/8A.411.pdf" Type="http://schemas.openxmlformats.org/officeDocument/2006/relationships/hyperlink" Id="rId11"/>
    <Relationship TargetMode="External" Target="https://www.legis.iowa.gov/docs/ico/chapter/8A.413.pdf" Type="http://schemas.openxmlformats.org/officeDocument/2006/relationships/hyperlink" Id="rId12"/>
    <Relationship TargetMode="External" Target="https://www.legis.iowa.gov/docs/ico/chapter/8A.415-418.pdf" Type="http://schemas.openxmlformats.org/officeDocument/2006/relationships/hyperlink" Id="rId13"/>
    <Relationship TargetMode="External" Target="https://www.legis.iowa.gov/docs/ico/chapter/8A.453.pdf" Type="http://schemas.openxmlformats.org/officeDocument/2006/relationships/hyperlink" Id="rId14"/>
    <Relationship TargetMode="External" Target="https://www.legis.iowa.gov/docs/ico/chapter/8A.456.pdf" Type="http://schemas.openxmlformats.org/officeDocument/2006/relationships/hyperlink" Id="rId15"/>
    <Relationship TargetMode="External" Target="https://www.legis.iowa.gov/docs/ico/chapter/8A.458.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