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FILLING VACANCIES</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2/18/04, see 581—Ch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11—56.1</w:t>
      </w:r>
      <w:r>
        <w:rPr>
          <w:rFonts w:ascii="Times New Roman" w:hAnsi="Times New Roman"/>
          <w:b/>
          <w:i w:val="false"/>
          <w:color w:val="000000"/>
          <w:sz w:val="22"/>
        </w:rPr>
        <w:t xml:space="preserve">(8A) </w:t>
      </w:r>
      <w:r>
        <w:rPr>
          <w:rFonts w:ascii="Times New Roman" w:hAnsi="Times New Roman"/>
          <w:b/>
          <w:i w:val="false"/>
          <w:color w:val="000000"/>
          <w:sz w:val="22"/>
        </w:rPr>
        <w:t xml:space="preserve">Method of filling vacancies. </w:t>
      </w:r>
      <w:r>
        <w:rPr>
          <w:rFonts w:ascii="Times New Roman" w:hAnsi="Times New Roman"/>
          <w:b w:val="false"/>
          <w:i w:val="false"/>
          <w:color w:val="000000"/>
          <w:sz w:val="22"/>
        </w:rPr>
        <w:t>Vacancies shall be filled through promotion, transfer, demotion, recall, reinstatement or original appointment. The method and order in which vacancies are filled shall be determined by the director, taking into consideration the provisions of collective bargaining agreements and these rules. Vacancies shall be announced before a list of applicants is issued to an appointing authority.</w:t>
      </w:r>
    </w:p>
    <w:p>
      <w:pPr>
        <w:spacing w:before="210" w:after="0"/>
        <w:ind w:left="120"/>
        <w:jc w:val="both"/>
      </w:pPr>
      <w:r>
        <w:rPr>
          <w:rFonts w:ascii="Times New Roman" w:hAnsi="Times New Roman"/>
          <w:b/>
          <w:i w:val="false"/>
          <w:color w:val="000000"/>
          <w:sz w:val="22"/>
        </w:rPr>
        <w:t>11—56.2</w:t>
      </w:r>
      <w:r>
        <w:rPr>
          <w:rFonts w:ascii="Times New Roman" w:hAnsi="Times New Roman"/>
          <w:b/>
          <w:i w:val="false"/>
          <w:color w:val="000000"/>
          <w:sz w:val="22"/>
        </w:rPr>
        <w:t xml:space="preserve">(8A) </w:t>
      </w:r>
      <w:r>
        <w:rPr>
          <w:rFonts w:ascii="Times New Roman" w:hAnsi="Times New Roman"/>
          <w:b/>
          <w:i w:val="false"/>
          <w:color w:val="000000"/>
          <w:sz w:val="22"/>
        </w:rPr>
        <w:t xml:space="preserve">List requests. </w:t>
      </w:r>
      <w:r>
        <w:rPr>
          <w:rFonts w:ascii="Times New Roman" w:hAnsi="Times New Roman"/>
          <w:b w:val="false"/>
          <w:i w:val="false"/>
          <w:color w:val="000000"/>
          <w:sz w:val="22"/>
        </w:rPr>
        <w:t>An appointing authority shall submit a request form when filling a vacancy.</w:t>
      </w:r>
    </w:p>
    <w:p>
      <w:pPr>
        <w:spacing w:before="0" w:after="0"/>
        <w:ind w:left="120"/>
        <w:jc w:val="both"/>
      </w:pPr>
      <w:r>
        <w:rPr>
          <w:rFonts w:ascii="Times New Roman" w:hAnsi="Times New Roman"/>
          <w:b/>
          <w:i w:val="false"/>
          <w:color w:val="000000"/>
          <w:sz w:val="22"/>
        </w:rPr>
        <w:t>11—56.3</w:t>
      </w:r>
      <w:r>
        <w:rPr>
          <w:rFonts w:ascii="Times New Roman" w:hAnsi="Times New Roman"/>
          <w:b/>
          <w:i w:val="false"/>
          <w:color w:val="000000"/>
          <w:sz w:val="22"/>
        </w:rPr>
        <w:t xml:space="preserve">(8A) </w:t>
      </w:r>
      <w:r>
        <w:rPr>
          <w:rFonts w:ascii="Times New Roman" w:hAnsi="Times New Roman"/>
          <w:b/>
          <w:i w:val="false"/>
          <w:color w:val="000000"/>
          <w:sz w:val="22"/>
        </w:rPr>
        <w:t xml:space="preserve">Types of lists. </w:t>
      </w:r>
      <w:r>
        <w:rPr>
          <w:rFonts w:ascii="Times New Roman" w:hAnsi="Times New Roman"/>
          <w:b w:val="false"/>
          <w:i w:val="false"/>
          <w:color w:val="000000"/>
          <w:sz w:val="22"/>
        </w:rPr>
        <w:t>The following types of lists may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color w:val="000000"/>
          <w:sz w:val="22"/>
        </w:rPr>
        <w:t xml:space="preserve">Recall list. </w:t>
      </w:r>
      <w:r>
        <w:rPr>
          <w:rFonts w:ascii="Times New Roman" w:hAnsi="Times New Roman"/>
          <w:b w:val="false"/>
          <w:i w:val="false"/>
          <w:color w:val="000000"/>
          <w:sz w:val="22"/>
        </w:rPr>
        <w:t xml:space="preserve">The director will provide the names of those persons who are eligible for recall on the date and time issued in accordance with the provisions of </w:t>
      </w:r>
      <w:hyperlink r:id="rId5">
        <w:r>
          <w:rPr>
            <w:rStyle w:val="Hyperlink"/>
            <w:rFonts w:ascii="Times New Roman" w:hAnsi="Times New Roman"/>
            <w:b w:val="false"/>
            <w:i w:val="false"/>
            <w:color w:val="000000"/>
            <w:sz w:val="22"/>
          </w:rPr>
          <w:t>11—subrule 60.3(6)</w:t>
        </w:r>
      </w:hyperlink>
      <w:r>
        <w:rPr>
          <w:rFonts w:ascii="Times New Roman" w:hAnsi="Times New Roman"/>
          <w:b w:val="false"/>
          <w:i w:val="false"/>
          <w:color w:val="000000"/>
          <w:sz w:val="22"/>
        </w:rPr>
        <w:t xml:space="preserve"> or applicable collective bargaining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color w:val="000000"/>
          <w:sz w:val="22"/>
        </w:rPr>
        <w:t xml:space="preserve">Promotional list. </w:t>
      </w:r>
      <w:r>
        <w:rPr>
          <w:rFonts w:ascii="Times New Roman" w:hAnsi="Times New Roman"/>
          <w:b w:val="false"/>
          <w:i w:val="false"/>
          <w:color w:val="000000"/>
          <w:sz w:val="22"/>
        </w:rPr>
        <w:t xml:space="preserve">The director will provide the names of qualified applicants who are permanent employees and those designated in </w:t>
      </w:r>
      <w:hyperlink r:id="rId6">
        <w:r>
          <w:rPr>
            <w:rStyle w:val="Hyperlink"/>
            <w:rFonts w:ascii="Times New Roman" w:hAnsi="Times New Roman"/>
            <w:b w:val="false"/>
            <w:i w:val="false"/>
            <w:color w:val="000000"/>
            <w:sz w:val="22"/>
          </w:rPr>
          <w:t>11—subrule 54.2(4)</w:t>
        </w:r>
      </w:hyperlink>
      <w:r>
        <w:rPr>
          <w:rFonts w:ascii="Times New Roman" w:hAnsi="Times New Roman"/>
          <w:b w:val="false"/>
          <w:i w:val="false"/>
          <w:color w:val="000000"/>
          <w:sz w:val="22"/>
        </w:rPr>
        <w:t xml:space="preserve"> who have indicated availability for the conditions and location specified in the vacancy announcement.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color w:val="000000"/>
          <w:sz w:val="22"/>
        </w:rPr>
        <w:t xml:space="preserve">All-applicant list. </w:t>
      </w:r>
      <w:r>
        <w:rPr>
          <w:rFonts w:ascii="Times New Roman" w:hAnsi="Times New Roman"/>
          <w:b w:val="false"/>
          <w:i w:val="false"/>
          <w:color w:val="000000"/>
          <w:sz w:val="22"/>
        </w:rPr>
        <w:t>The director will provide the names of all qualified applicants who have indicated availability for the conditions and location specified in the vacancy announcement.</w:t>
      </w:r>
    </w:p>
    <w:p>
      <w:pPr>
        <w:spacing w:before="210" w:after="0"/>
        <w:ind w:left="120"/>
        <w:jc w:val="both"/>
      </w:pPr>
      <w:r>
        <w:rPr>
          <w:rFonts w:ascii="Times New Roman" w:hAnsi="Times New Roman"/>
          <w:b/>
          <w:i w:val="false"/>
          <w:color w:val="000000"/>
          <w:sz w:val="22"/>
        </w:rPr>
        <w:t>11—56.4</w:t>
      </w:r>
      <w:r>
        <w:rPr>
          <w:rFonts w:ascii="Times New Roman" w:hAnsi="Times New Roman"/>
          <w:b/>
          <w:i w:val="false"/>
          <w:color w:val="000000"/>
          <w:sz w:val="22"/>
        </w:rPr>
        <w:t xml:space="preserve">(8A) </w:t>
      </w:r>
      <w:r>
        <w:rPr>
          <w:rFonts w:ascii="Times New Roman" w:hAnsi="Times New Roman"/>
          <w:b/>
          <w:i w:val="false"/>
          <w:color w:val="000000"/>
          <w:sz w:val="22"/>
        </w:rPr>
        <w:t xml:space="preserve">Selective lists. </w:t>
      </w:r>
      <w:r>
        <w:rPr>
          <w:rFonts w:ascii="Times New Roman" w:hAnsi="Times New Roman"/>
          <w:b w:val="false"/>
          <w:i w:val="false"/>
          <w:color w:val="000000"/>
          <w:sz w:val="22"/>
        </w:rPr>
        <w:t>The director may provide lists of only those eligibles for a position who possess specific education, experience or other selective qualifications required to perform the duties of a position. The director may establish procedures for determining and approving selective qualifications, processing requests and issuing lists with selectives.</w:t>
      </w:r>
    </w:p>
    <w:p>
      <w:pPr>
        <w:spacing w:before="0" w:after="0"/>
        <w:ind w:left="120"/>
        <w:jc w:val="both"/>
      </w:pPr>
      <w:r>
        <w:rPr>
          <w:rFonts w:ascii="Times New Roman" w:hAnsi="Times New Roman"/>
          <w:b/>
          <w:i w:val="false"/>
          <w:color w:val="000000"/>
          <w:sz w:val="22"/>
        </w:rPr>
        <w:t>11—56.5</w:t>
      </w:r>
      <w:r>
        <w:rPr>
          <w:rFonts w:ascii="Times New Roman" w:hAnsi="Times New Roman"/>
          <w:b/>
          <w:i w:val="false"/>
          <w:color w:val="000000"/>
          <w:sz w:val="22"/>
        </w:rPr>
        <w:t xml:space="preserve">(8A) </w:t>
      </w:r>
      <w:r>
        <w:rPr>
          <w:rFonts w:ascii="Times New Roman" w:hAnsi="Times New Roman"/>
          <w:b/>
          <w:i w:val="false"/>
          <w:color w:val="000000"/>
          <w:sz w:val="22"/>
        </w:rPr>
        <w:t xml:space="preserve">Expiration of a list. </w:t>
      </w:r>
      <w:r>
        <w:rPr>
          <w:rFonts w:ascii="Times New Roman" w:hAnsi="Times New Roman"/>
          <w:b w:val="false"/>
          <w:i w:val="false"/>
          <w:color w:val="000000"/>
          <w:sz w:val="22"/>
        </w:rPr>
        <w:t>The expiration of a list shall be 120 calendar days following the date of issue unless otherwise approved by the director. All appointments or promotions must be reported to the director before the expiration date of the list. Effective dates of appointments or promotions must be no later than 60 days after the expiration date of the list unless otherwise authorized by the director, except that appointments or promotions “pending graduation” or “pending license” shall be allowed to be effective up to nine months following the expiration date of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11—56.6</w:t>
      </w:r>
      <w:r>
        <w:rPr>
          <w:rFonts w:ascii="Times New Roman" w:hAnsi="Times New Roman"/>
          <w:b/>
          <w:i w:val="false"/>
          <w:color w:val="000000"/>
          <w:sz w:val="22"/>
        </w:rPr>
        <w:t xml:space="preserve">(8A) </w:t>
      </w:r>
      <w:r>
        <w:rPr>
          <w:rFonts w:ascii="Times New Roman" w:hAnsi="Times New Roman"/>
          <w:b/>
          <w:i w:val="false"/>
          <w:color w:val="000000"/>
          <w:sz w:val="22"/>
        </w:rPr>
        <w:t xml:space="preserve">Incomplete lists. </w:t>
      </w:r>
      <w:r>
        <w:rPr>
          <w:rFonts w:ascii="Times New Roman" w:hAnsi="Times New Roman"/>
          <w:b w:val="false"/>
          <w:i w:val="false"/>
          <w:color w:val="000000"/>
          <w:sz w:val="22"/>
        </w:rPr>
        <w:t>If the number of names available on a nonpromotional list is less than six, the appointing authority will be granted provisional appointment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11—56.7</w:t>
      </w:r>
      <w:r>
        <w:rPr>
          <w:rFonts w:ascii="Times New Roman" w:hAnsi="Times New Roman"/>
          <w:b/>
          <w:i w:val="false"/>
          <w:color w:val="000000"/>
          <w:sz w:val="22"/>
        </w:rPr>
        <w:t xml:space="preserve">(8A) </w:t>
      </w:r>
      <w:r>
        <w:rPr>
          <w:rFonts w:ascii="Times New Roman" w:hAnsi="Times New Roman"/>
          <w:b/>
          <w:i w:val="false"/>
          <w:color w:val="000000"/>
          <w:sz w:val="22"/>
        </w:rPr>
        <w:t xml:space="preserve">Referral and appointment of “conditional” applicants. </w:t>
      </w:r>
      <w:r>
        <w:rPr>
          <w:rFonts w:ascii="Times New Roman" w:hAnsi="Times New Roman"/>
          <w:b w:val="false"/>
          <w:i w:val="false"/>
          <w:color w:val="000000"/>
          <w:sz w:val="22"/>
        </w:rPr>
        <w:t xml:space="preserve">The names of applicants who are on the eligible list for a class “pending graduation” or “pending license” are considered to be “conditional.” If a “conditional” applicant is selected, the appointment shall not be effective until the applicant has met the minimum requirements for qualification. Appointments shall be made in accordance with </w:t>
      </w:r>
      <w:hyperlink r:id="rId7">
        <w:r>
          <w:rPr>
            <w:rStyle w:val="Hyperlink"/>
            <w:rFonts w:ascii="Times New Roman" w:hAnsi="Times New Roman"/>
            <w:b w:val="false"/>
            <w:i w:val="false"/>
            <w:color w:val="000000"/>
            <w:sz w:val="22"/>
          </w:rPr>
          <w:t>11—subrule 54.2(5)</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11—56.5</w:t>
        </w:r>
      </w:hyperlink>
      <w:r>
        <w:rPr>
          <w:rFonts w:ascii="Times New Roman" w:hAnsi="Times New Roman"/>
          <w:b w:val="false"/>
          <w:i w:val="false"/>
          <w:color w:val="000000"/>
          <w:sz w:val="22"/>
        </w:rPr>
        <w:t>(8A).</w:t>
      </w:r>
    </w:p>
    <w:p>
      <w:pPr>
        <w:spacing w:before="210" w:after="0"/>
        <w:ind w:left="120"/>
        <w:jc w:val="both"/>
      </w:pPr>
      <w:r>
        <w:rPr>
          <w:rFonts w:ascii="Times New Roman" w:hAnsi="Times New Roman"/>
          <w:b/>
          <w:i w:val="false"/>
          <w:color w:val="000000"/>
          <w:sz w:val="22"/>
        </w:rPr>
        <w:t>11—56.8</w:t>
      </w:r>
      <w:r>
        <w:rPr>
          <w:rFonts w:ascii="Times New Roman" w:hAnsi="Times New Roman"/>
          <w:b/>
          <w:i w:val="false"/>
          <w:color w:val="000000"/>
          <w:sz w:val="22"/>
        </w:rPr>
        <w:t xml:space="preserve">(8A) </w:t>
      </w:r>
      <w:r>
        <w:rPr>
          <w:rFonts w:ascii="Times New Roman" w:hAnsi="Times New Roman"/>
          <w:b/>
          <w:i w:val="false"/>
          <w:color w:val="000000"/>
          <w:sz w:val="22"/>
        </w:rPr>
        <w:t xml:space="preserve">Adjustment of errors. </w:t>
      </w:r>
      <w:r>
        <w:rPr>
          <w:rFonts w:ascii="Times New Roman" w:hAnsi="Times New Roman"/>
          <w:b w:val="false"/>
          <w:i w:val="false"/>
          <w:color w:val="000000"/>
          <w:sz w:val="22"/>
        </w:rPr>
        <w:t>An error in the compilation or issuance of a list, if called to the attention of the director prior to the filling of the vacancy, shall be corrected and a new list issued. Except for a recall list, such correction shall not result in the removal of any eligible already certified nor invalidate any appointment already made.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8A.401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8A.402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8A.411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8A.414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8A.416 to 8A.418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8A.453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8A.456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8A.458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5/1/69; amended 11/10/70, 7/26/74]</w:t>
      </w:r>
    </w:p>
    <w:p>
      <w:pPr>
        <w:spacing w:before="0" w:after="0"/>
        <w:ind w:left="120"/>
        <w:jc w:val="center"/>
      </w:pPr>
      <w:r>
        <w:rPr>
          <w:rFonts w:ascii="Times New Roman" w:hAnsi="Times New Roman"/>
          <w:b w:val="false"/>
          <w:i w:val="false"/>
          <w:color w:val="000000"/>
          <w:sz w:val="21"/>
        </w:rPr>
        <w:t>[Filed 10/26/79, Notice 9/19/79—published 11/14/79, effective 12/20/79]</w:t>
      </w:r>
    </w:p>
    <w:p>
      <w:pPr>
        <w:spacing w:before="0" w:after="0"/>
        <w:ind w:left="120"/>
        <w:jc w:val="center"/>
      </w:pPr>
      <w:r>
        <w:rPr>
          <w:rFonts w:ascii="Times New Roman" w:hAnsi="Times New Roman"/>
          <w:b w:val="false"/>
          <w:i w:val="false"/>
          <w:color w:val="000000"/>
          <w:sz w:val="21"/>
        </w:rPr>
        <w:t>[Filed 1/2/81, Notice 7/23/80—published 1/21/81, effective 2/25/81]</w:t>
      </w:r>
    </w:p>
    <w:p>
      <w:pPr>
        <w:spacing w:before="0" w:after="0"/>
        <w:ind w:left="120"/>
        <w:jc w:val="center"/>
      </w:pPr>
      <w:r>
        <w:rPr>
          <w:rFonts w:ascii="Times New Roman" w:hAnsi="Times New Roman"/>
          <w:b w:val="false"/>
          <w:i w:val="false"/>
          <w:color w:val="000000"/>
          <w:sz w:val="21"/>
        </w:rPr>
        <w:t>[Filed 1/2/81, Notice 10/1/80—published 1/21/81, effective 2/25/81]</w:t>
      </w:r>
    </w:p>
    <w:p>
      <w:pPr>
        <w:spacing w:before="0" w:after="0"/>
        <w:ind w:left="120"/>
        <w:jc w:val="center"/>
      </w:pPr>
      <w:r>
        <w:rPr>
          <w:rFonts w:ascii="Times New Roman" w:hAnsi="Times New Roman"/>
          <w:b w:val="false"/>
          <w:i w:val="false"/>
          <w:color w:val="000000"/>
          <w:sz w:val="21"/>
        </w:rPr>
        <w:t>[Filed 6/3/81, Notice 4/15/81—published 6/24/81, effective 7/29/81]</w:t>
      </w:r>
    </w:p>
    <w:p>
      <w:pPr>
        <w:spacing w:before="0" w:after="0"/>
        <w:ind w:left="120"/>
        <w:jc w:val="center"/>
      </w:pPr>
      <w:r>
        <w:rPr>
          <w:rFonts w:ascii="Times New Roman" w:hAnsi="Times New Roman"/>
          <w:b w:val="false"/>
          <w:i w:val="false"/>
          <w:color w:val="000000"/>
          <w:sz w:val="21"/>
        </w:rPr>
        <w:t>[Filed 8/14/81, Notice 6/24/81—published 9/2/81, effective 10/7/81]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12/3/85, Notice 10/9/85—published 12/18/85, effective 1/22/86]</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2/18/88, Notice 1/13/88—published 3/9/88, effective 4/13/88]</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2/1/90, Notice 12/31/89—published 2/21/90, effective 3/30/90]</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3/27/92, Notice 2/5/92—published 4/15/92, effective 5/20/92]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pBdr>
          <w:bottom w:space="2"/>
        </w:pBdr>
        <w:spacing w:before="0" w:after="0"/>
        <w:ind w:left="120"/>
        <w:jc w:val="both"/>
      </w:pPr>
      <w:r>
        <w:rPr>
          <w:rFonts w:ascii="Times New Roman" w:hAnsi="Times New Roman"/>
          <w:b w:val="false"/>
          <w:i w:val="false"/>
          <w:color w:val="000000"/>
          <w:sz w:val="22"/>
        </w:rPr>
        <w:t>Effective date of amendments to 7.6, 7.9 and 7.12 delayed 70 days by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May 13, 1992; delay lifted by the Committee at its meeting held June 10, 1992.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60.3.pdf" Type="http://schemas.openxmlformats.org/officeDocument/2006/relationships/hyperlink" Id="rId5"/>
    <Relationship TargetMode="External" Target="https://www.legis.iowa.gov/docs/iac/rule/11.54.2.pdf" Type="http://schemas.openxmlformats.org/officeDocument/2006/relationships/hyperlink" Id="rId6"/>
    <Relationship TargetMode="External" Target="https://www.legis.iowa.gov/docs/iac/rule/11.54.2.pdf" Type="http://schemas.openxmlformats.org/officeDocument/2006/relationships/hyperlink" Id="rId7"/>
    <Relationship TargetMode="External" Target="https://www.legis.iowa.gov/docs/iac/rule/11.56.5.pdf" Type="http://schemas.openxmlformats.org/officeDocument/2006/relationships/hyperlink" Id="rId8"/>
    <Relationship TargetMode="External" Target="https://www.legis.iowa.gov/docs/ico/chapter/8A.401.pdf" Type="http://schemas.openxmlformats.org/officeDocument/2006/relationships/hyperlink" Id="rId9"/>
    <Relationship TargetMode="External" Target="https://www.legis.iowa.gov/docs/ico/chapter/8A.402.pdf" Type="http://schemas.openxmlformats.org/officeDocument/2006/relationships/hyperlink" Id="rId10"/>
    <Relationship TargetMode="External" Target="https://www.legis.iowa.gov/docs/ico/chapter/8A.411.pdf" Type="http://schemas.openxmlformats.org/officeDocument/2006/relationships/hyperlink" Id="rId11"/>
    <Relationship TargetMode="External" Target="https://www.legis.iowa.gov/docs/ico/chapter/8A.413.pdf" Type="http://schemas.openxmlformats.org/officeDocument/2006/relationships/hyperlink" Id="rId12"/>
    <Relationship TargetMode="External" Target="https://www.legis.iowa.gov/docs/ico/chapter/8A.414.pdf" Type="http://schemas.openxmlformats.org/officeDocument/2006/relationships/hyperlink" Id="rId13"/>
    <Relationship TargetMode="External" Target="https://www.legis.iowa.gov/docs/ico/chapter/8A.416-418.pdf" Type="http://schemas.openxmlformats.org/officeDocument/2006/relationships/hyperlink" Id="rId14"/>
    <Relationship TargetMode="External" Target="https://www.legis.iowa.gov/docs/ico/chapter/8A.453.pdf" Type="http://schemas.openxmlformats.org/officeDocument/2006/relationships/hyperlink" Id="rId15"/>
    <Relationship TargetMode="External" Target="https://www.legis.iowa.gov/docs/ico/chapter/8A.456.pdf" Type="http://schemas.openxmlformats.org/officeDocument/2006/relationships/hyperlink" Id="rId16"/>
    <Relationship TargetMode="External" Target="https://www.legis.iowa.gov/docs/ico/chapter/8A.458.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