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ELIGIBLE LISTS</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2/18/04, see 581—Ch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11—55.1</w:t>
      </w:r>
      <w:r>
        <w:rPr>
          <w:rFonts w:ascii="Times New Roman" w:hAnsi="Times New Roman"/>
          <w:b/>
          <w:i w:val="false"/>
          <w:color w:val="000000"/>
          <w:sz w:val="22"/>
        </w:rPr>
        <w:t xml:space="preserve">(8A) </w:t>
      </w:r>
      <w:r>
        <w:rPr>
          <w:rFonts w:ascii="Times New Roman" w:hAnsi="Times New Roman"/>
          <w:b/>
          <w:i w:val="false"/>
          <w:color w:val="000000"/>
          <w:sz w:val="22"/>
        </w:rPr>
        <w:t xml:space="preserve">Establishment of eligible lists. </w:t>
      </w:r>
      <w:r>
        <w:rPr>
          <w:rFonts w:ascii="Times New Roman" w:hAnsi="Times New Roman"/>
          <w:b w:val="false"/>
          <w:i w:val="false"/>
          <w:color w:val="000000"/>
          <w:sz w:val="22"/>
        </w:rPr>
        <w:t>The director shall establish and maintain various lists of eligible applicants for use in filling vacant positions. Eligible lists may be by job class or specific position. Eligible lists may be continuous or may be abolished after a vacancy is filled. The following are types of eligible lists: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w:t>
      </w:r>
      <w:r>
        <w:rPr>
          <w:rFonts w:ascii="Times New Roman" w:hAnsi="Times New Roman"/>
          <w:b w:val="false"/>
          <w:i w:val="false"/>
          <w:color w:val="000000"/>
          <w:sz w:val="22"/>
        </w:rPr>
        <w:t> </w:t>
      </w:r>
      <w:r>
        <w:rPr>
          <w:rFonts w:ascii="Times New Roman" w:hAnsi="Times New Roman"/>
          <w:b w:val="false"/>
          <w:i/>
          <w:color w:val="000000"/>
          <w:sz w:val="22"/>
        </w:rPr>
        <w:t xml:space="preserve">Recall lists. </w:t>
      </w:r>
      <w:r>
        <w:rPr>
          <w:rFonts w:ascii="Times New Roman" w:hAnsi="Times New Roman"/>
          <w:b w:val="false"/>
          <w:i w:val="false"/>
          <w:color w:val="000000"/>
          <w:sz w:val="22"/>
        </w:rPr>
        <w:t xml:space="preserve">These lists shall consist of the names of permanent employees who were separated by layoff; or who moved to another class or had their work hours reduced in lieu of layoff. Recall shall be in accordance with </w:t>
      </w:r>
      <w:hyperlink r:id="rId5">
        <w:r>
          <w:rPr>
            <w:rStyle w:val="Hyperlink"/>
            <w:rFonts w:ascii="Times New Roman" w:hAnsi="Times New Roman"/>
            <w:b w:val="false"/>
            <w:i w:val="false"/>
            <w:color w:val="000000"/>
            <w:sz w:val="22"/>
          </w:rPr>
          <w:t>11—subrule 60.3(6)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w:t>
      </w:r>
      <w:r>
        <w:rPr>
          <w:rFonts w:ascii="Times New Roman" w:hAnsi="Times New Roman"/>
          <w:b w:val="false"/>
          <w:i w:val="false"/>
          <w:color w:val="000000"/>
          <w:sz w:val="22"/>
        </w:rPr>
        <w:t> </w:t>
      </w:r>
      <w:r>
        <w:rPr>
          <w:rFonts w:ascii="Times New Roman" w:hAnsi="Times New Roman"/>
          <w:b w:val="false"/>
          <w:i/>
          <w:color w:val="000000"/>
          <w:sz w:val="22"/>
        </w:rPr>
        <w:t xml:space="preserve">Promotional lists. </w:t>
      </w:r>
      <w:r>
        <w:rPr>
          <w:rFonts w:ascii="Times New Roman" w:hAnsi="Times New Roman"/>
          <w:b w:val="false"/>
          <w:i w:val="false"/>
          <w:color w:val="000000"/>
          <w:sz w:val="22"/>
        </w:rPr>
        <w:t xml:space="preserve">Promotional lists shall consist of the names of permanent employees and those as designated in 11—paragraph </w:t>
      </w:r>
      <w:hyperlink r:id="rId6">
        <w:r>
          <w:rPr>
            <w:rStyle w:val="Hyperlink"/>
            <w:rFonts w:ascii="Times New Roman" w:hAnsi="Times New Roman"/>
            <w:b w:val="false"/>
            <w:i w:val="false"/>
            <w:color w:val="000000"/>
            <w:sz w:val="22"/>
          </w:rPr>
          <w:t>54.2(4)</w:t>
        </w:r>
      </w:hyperlink>
      <w:r>
        <w:rPr>
          <w:rFonts w:ascii="Times New Roman" w:hAnsi="Times New Roman"/>
          <w:b w:val="false"/>
          <w:i/>
          <w:color w:val="000000"/>
          <w:sz w:val="22"/>
        </w:rPr>
        <w:t>“a”</w:t>
      </w:r>
      <w:r>
        <w:rPr>
          <w:rFonts w:ascii="Times New Roman" w:hAnsi="Times New Roman"/>
          <w:b w:val="false"/>
          <w:i w:val="false"/>
          <w:color w:val="000000"/>
          <w:sz w:val="22"/>
        </w:rPr>
        <w:t xml:space="preserve"> who have applied for a job class and who have met the minimum qualifications and other promotional screening requirements for the class. The length of time of eligibility for promotion from these lists need not be the same as that for appointment from nonpromotional lists.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w:t>
      </w:r>
      <w:r>
        <w:rPr>
          <w:rFonts w:ascii="Times New Roman" w:hAnsi="Times New Roman"/>
          <w:b w:val="false"/>
          <w:i w:val="false"/>
          <w:color w:val="000000"/>
          <w:sz w:val="22"/>
        </w:rPr>
        <w:t> </w:t>
      </w:r>
      <w:r>
        <w:rPr>
          <w:rFonts w:ascii="Times New Roman" w:hAnsi="Times New Roman"/>
          <w:b w:val="false"/>
          <w:i/>
          <w:color w:val="000000"/>
          <w:sz w:val="22"/>
        </w:rPr>
        <w:t xml:space="preserve">All-applicant lists. </w:t>
      </w:r>
      <w:r>
        <w:rPr>
          <w:rFonts w:ascii="Times New Roman" w:hAnsi="Times New Roman"/>
          <w:b w:val="false"/>
          <w:i w:val="false"/>
          <w:color w:val="000000"/>
          <w:sz w:val="22"/>
        </w:rPr>
        <w:t>All-applicant lists shall consist of the names of all persons who have applied for positions, met the minimum qualifications for the class, and undergone, as necessary, the designated screening for the class. Persons in the certified disability program or any other formal waiver program established by the department shall be identified as such and placed on the all-applicant list.</w:t>
      </w:r>
    </w:p>
    <w:p>
      <w:pPr>
        <w:spacing w:before="0" w:after="0"/>
        <w:ind w:left="120"/>
        <w:jc w:val="both"/>
      </w:pPr>
      <w:r>
        <w:rPr>
          <w:rFonts w:ascii="Times New Roman" w:hAnsi="Times New Roman"/>
          <w:b/>
          <w:i w:val="false"/>
          <w:color w:val="000000"/>
          <w:sz w:val="22"/>
        </w:rPr>
        <w:t>11—55.2</w:t>
      </w:r>
      <w:r>
        <w:rPr>
          <w:rFonts w:ascii="Times New Roman" w:hAnsi="Times New Roman"/>
          <w:b/>
          <w:i w:val="false"/>
          <w:color w:val="000000"/>
          <w:sz w:val="22"/>
        </w:rPr>
        <w:t xml:space="preserve">(8A) </w:t>
      </w:r>
      <w:r>
        <w:rPr>
          <w:rFonts w:ascii="Times New Roman" w:hAnsi="Times New Roman"/>
          <w:b/>
          <w:i w:val="false"/>
          <w:color w:val="000000"/>
          <w:sz w:val="22"/>
        </w:rPr>
        <w:t xml:space="preserve">Removal of names from eligible lists. </w:t>
      </w:r>
      <w:r>
        <w:rPr>
          <w:rFonts w:ascii="Times New Roman" w:hAnsi="Times New Roman"/>
          <w:b w:val="false"/>
          <w:i w:val="false"/>
          <w:color w:val="000000"/>
          <w:sz w:val="22"/>
        </w:rPr>
        <w:t xml:space="preserve">The director may remove names from an eligible list for a particular job class(es) for any of the following reasons in addition to those cited in </w:t>
      </w:r>
      <w:hyperlink r:id="rId7">
        <w:r>
          <w:rPr>
            <w:rStyle w:val="Hyperlink"/>
            <w:rFonts w:ascii="Times New Roman" w:hAnsi="Times New Roman"/>
            <w:b w:val="false"/>
            <w:i w:val="false"/>
            <w:color w:val="000000"/>
            <w:sz w:val="22"/>
          </w:rPr>
          <w:t>11—subrule 54.2(6)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by the applicant to maintain a record of current address as evidenced by the return of a properly addressed letter or other similar evidence.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by the applicant to respond to a written inquiry from the director or an appointing authority as to availability within five workdays following the date the inquiry was sent.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Receipt of a statement that the applicant no longer wants to be on the list for the class.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Declination of an appointment or promotion under previously agreed to conditions.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Appointment to a job class.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Abolition or expiration of an eligible list for a job class(es).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 the case of promotional lists, separation from state service.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Correction of erroneous placement on a list.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Violation of any of the provisions of Iowa Code chapter </w:t>
      </w:r>
      <w:hyperlink r:id="rId8">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or these rules. Applicants removed for this reason shall be notified in writing by the director within five workdays following removal. Appeal of removal for this reason shall be in accordance with </w:t>
      </w:r>
      <w:hyperlink r:id="rId9">
        <w:r>
          <w:rPr>
            <w:rStyle w:val="Hyperlink"/>
            <w:rFonts w:ascii="Times New Roman" w:hAnsi="Times New Roman"/>
            <w:b w:val="false"/>
            <w:i w:val="false"/>
            <w:color w:val="000000"/>
            <w:sz w:val="22"/>
          </w:rPr>
          <w:t>11—subrule 61.2(4)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Failure by the applicant to maintain contact as instructed by the department concerning current availability, mailing address and telephone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11—55.3</w:t>
      </w:r>
      <w:r>
        <w:rPr>
          <w:rFonts w:ascii="Times New Roman" w:hAnsi="Times New Roman"/>
          <w:b/>
          <w:i w:val="false"/>
          <w:color w:val="000000"/>
          <w:sz w:val="22"/>
        </w:rPr>
        <w:t xml:space="preserve">(8A) </w:t>
      </w:r>
      <w:r>
        <w:rPr>
          <w:rFonts w:ascii="Times New Roman" w:hAnsi="Times New Roman"/>
          <w:b/>
          <w:i w:val="false"/>
          <w:color w:val="000000"/>
          <w:sz w:val="22"/>
        </w:rPr>
        <w:t xml:space="preserve">Statement of availability. </w:t>
      </w:r>
      <w:r>
        <w:rPr>
          <w:rFonts w:ascii="Times New Roman" w:hAnsi="Times New Roman"/>
          <w:b w:val="false"/>
          <w:i w:val="false"/>
          <w:color w:val="000000"/>
          <w:sz w:val="22"/>
        </w:rPr>
        <w:t>It shall be the applicant’s responsibility to notify the director in writing of any change in address or other changes affecting availability for employment. The director may at any time verify the availability of applicants. The names of applicants shall be withheld from all eligible lists which do not meet the stated conditions and locations under which the applicants have indicated availability.</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8A.401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8A.402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8A.411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8A.417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8A.418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8A.453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8A.455</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8A.456</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8A.458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5/1/69; amended 9/17/70, 4/14/71]</w:t>
      </w:r>
    </w:p>
    <w:p>
      <w:pPr>
        <w:spacing w:before="0" w:after="0"/>
        <w:ind w:left="120"/>
        <w:jc w:val="center"/>
      </w:pPr>
      <w:r>
        <w:rPr>
          <w:rFonts w:ascii="Times New Roman" w:hAnsi="Times New Roman"/>
          <w:b w:val="false"/>
          <w:i w:val="false"/>
          <w:color w:val="000000"/>
          <w:sz w:val="21"/>
        </w:rPr>
        <w:t>[Filed 8/1/79, Notice 6/13/79—published 8/22/79, effective 9/26/79]</w:t>
      </w:r>
    </w:p>
    <w:p>
      <w:pPr>
        <w:spacing w:before="0" w:after="0"/>
        <w:ind w:left="120"/>
        <w:jc w:val="center"/>
      </w:pPr>
      <w:r>
        <w:rPr>
          <w:rFonts w:ascii="Times New Roman" w:hAnsi="Times New Roman"/>
          <w:b w:val="false"/>
          <w:i w:val="false"/>
          <w:color w:val="000000"/>
          <w:sz w:val="21"/>
        </w:rPr>
        <w:t>[Filed 1/2/81, Notice 10/1/80—published 1/21/81, effective 2/25/81]</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4/4/86, Notice 1/15/86—published 4/23/86, effective 5/28/86]</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5/23/91, Notice 4/17/91—published 6/12/91, effective 7/19/91]</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emergency 6/29/00—published 7/26/00, effective 7/1/00]</w:t>
      </w:r>
    </w:p>
    <w:p>
      <w:pPr>
        <w:spacing w:before="0" w:after="0"/>
        <w:ind w:left="120"/>
        <w:jc w:val="center"/>
      </w:pPr>
      <w:r>
        <w:rPr>
          <w:rFonts w:ascii="Times New Roman" w:hAnsi="Times New Roman"/>
          <w:b w:val="false"/>
          <w:i w:val="false"/>
          <w:color w:val="000000"/>
          <w:sz w:val="21"/>
        </w:rPr>
        <w:t>[Filed 1/28/04, Notice 12/24/03—published 2/18/04, effective 3/24/04]</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pBdr>
          <w:bottom w:space="2"/>
        </w:pBdr>
        <w:spacing w:before="0" w:after="0"/>
        <w:ind w:left="120"/>
        <w:jc w:val="both"/>
      </w:pPr>
      <w:r>
        <w:rPr>
          <w:rFonts w:ascii="Times New Roman" w:hAnsi="Times New Roman"/>
          <w:b w:val="false"/>
          <w:i w:val="false"/>
          <w:color w:val="000000"/>
          <w:sz w:val="22"/>
        </w:rPr>
        <w:t>Effective date of amendment to 6.6(2) and 6.6(3) delayed 70 days by the Administrative Rules Review Committee. Delay lifted by Committee on 2/8/83. See details following chapter analysis.</w:t>
      </w:r>
    </w:p>
    <w:p>
      <w:pPr>
        <w:pBdr>
          <w:bottom w:space="2"/>
        </w:pBdr>
        <w:spacing w:before="0" w:after="0"/>
        <w:ind w:left="120"/>
        <w:jc w:val="both"/>
      </w:pPr>
      <w:r>
        <w:rPr>
          <w:rFonts w:ascii="Times New Roman" w:hAnsi="Times New Roman"/>
          <w:b w:val="false"/>
          <w:i w:val="false"/>
          <w:color w:val="000000"/>
          <w:sz w:val="22"/>
        </w:rPr>
        <w:t>See IAB Personnel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60.3.pdf" Type="http://schemas.openxmlformats.org/officeDocument/2006/relationships/hyperlink" Id="rId5"/>
    <Relationship TargetMode="External" Target="https://www.legis.iowa.gov/docs/iac/rule/11.54.2.pdf" Type="http://schemas.openxmlformats.org/officeDocument/2006/relationships/hyperlink" Id="rId6"/>
    <Relationship TargetMode="External" Target="https://www.legis.iowa.gov/docs/iac/rule/11.54.2.pdf" Type="http://schemas.openxmlformats.org/officeDocument/2006/relationships/hyperlink" Id="rId7"/>
    <Relationship TargetMode="External" Target="https://www.legis.iowa.gov/docs/ico/chapter/8A.pdf" Type="http://schemas.openxmlformats.org/officeDocument/2006/relationships/hyperlink" Id="rId8"/>
    <Relationship TargetMode="External" Target="https://www.legis.iowa.gov/docs/iac/rule/11.61.2.pdf" Type="http://schemas.openxmlformats.org/officeDocument/2006/relationships/hyperlink" Id="rId9"/>
    <Relationship TargetMode="External" Target="https://www.legis.iowa.gov/docs/ico/chapter/8A.401.pdf" Type="http://schemas.openxmlformats.org/officeDocument/2006/relationships/hyperlink" Id="rId10"/>
    <Relationship TargetMode="External" Target="https://www.legis.iowa.gov/docs/ico/chapter/8A.402.pdf" Type="http://schemas.openxmlformats.org/officeDocument/2006/relationships/hyperlink" Id="rId11"/>
    <Relationship TargetMode="External" Target="https://www.legis.iowa.gov/docs/ico/chapter/8A.411.pdf" Type="http://schemas.openxmlformats.org/officeDocument/2006/relationships/hyperlink" Id="rId12"/>
    <Relationship TargetMode="External" Target="https://www.legis.iowa.gov/docs/ico/chapter/8A.413.pdf" Type="http://schemas.openxmlformats.org/officeDocument/2006/relationships/hyperlink" Id="rId13"/>
    <Relationship TargetMode="External" Target="https://www.legis.iowa.gov/docs/ico/chapter/8A.417.pdf" Type="http://schemas.openxmlformats.org/officeDocument/2006/relationships/hyperlink" Id="rId14"/>
    <Relationship TargetMode="External" Target="https://www.legis.iowa.gov/docs/ico/chapter/8A.418.pdf" Type="http://schemas.openxmlformats.org/officeDocument/2006/relationships/hyperlink" Id="rId15"/>
    <Relationship TargetMode="External" Target="https://www.legis.iowa.gov/docs/ico/chapter/8A.453.pdf" Type="http://schemas.openxmlformats.org/officeDocument/2006/relationships/hyperlink" Id="rId16"/>
    <Relationship TargetMode="External" Target="https://www.legis.iowa.gov/docs/ico/chapter/8A.455.pdf" Type="http://schemas.openxmlformats.org/officeDocument/2006/relationships/hyperlink" Id="rId17"/>
    <Relationship TargetMode="External" Target="https://www.legis.iowa.gov/docs/ico/chapter/8A.456.pdf" Type="http://schemas.openxmlformats.org/officeDocument/2006/relationships/hyperlink" Id="rId18"/>
    <Relationship TargetMode="External" Target="https://www.legis.iowa.gov/docs/ico/chapter/8A.458.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