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53</w:t>
      </w:r>
    </w:p>
    <w:p>
      <w:pPr>
        <w:spacing w:before="0" w:after="0"/>
        <w:ind w:left="120"/>
        <w:jc w:val="center"/>
      </w:pPr>
      <w:r>
        <w:rPr>
          <w:rFonts w:ascii="Times New Roman" w:hAnsi="Times New Roman"/>
          <w:b w:val="false"/>
          <w:i w:val="false"/>
          <w:color w:val="000000"/>
          <w:sz w:val="21"/>
        </w:rPr>
        <w:t>PAY</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2/18/04, see 581—Ch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11—53.1</w:t>
      </w:r>
      <w:r>
        <w:rPr>
          <w:rFonts w:ascii="Times New Roman" w:hAnsi="Times New Roman"/>
          <w:b/>
          <w:i w:val="false"/>
          <w:color w:val="000000"/>
          <w:sz w:val="22"/>
        </w:rPr>
        <w:t xml:space="preserve">(8A) </w:t>
      </w:r>
      <w:r>
        <w:rPr>
          <w:rFonts w:ascii="Times New Roman" w:hAnsi="Times New Roman"/>
          <w:b/>
          <w:i w:val="false"/>
          <w:color w:val="000000"/>
          <w:sz w:val="22"/>
        </w:rPr>
        <w:t xml:space="preserve">Pay plan adoption. </w:t>
      </w:r>
      <w:r>
        <w:rPr>
          <w:rFonts w:ascii="Times New Roman" w:hAnsi="Times New Roman"/>
          <w:b w:val="false"/>
          <w:i w:val="false"/>
          <w:color w:val="000000"/>
          <w:sz w:val="22"/>
        </w:rPr>
        <w:t>The director shall adopt pay plans for all classes and positions in the executive branch of state government, except as otherwise provided for in the Iowa Code.</w:t>
      </w:r>
    </w:p>
    <w:p>
      <w:pPr>
        <w:spacing w:before="0" w:after="0"/>
        <w:ind w:left="120"/>
        <w:jc w:val="both"/>
      </w:pPr>
      <w:r>
        <w:rPr>
          <w:rFonts w:ascii="Times New Roman" w:hAnsi="Times New Roman"/>
          <w:b/>
          <w:i w:val="false"/>
          <w:color w:val="000000"/>
          <w:sz w:val="22"/>
        </w:rPr>
        <w:t>11—53.2</w:t>
      </w:r>
      <w:r>
        <w:rPr>
          <w:rFonts w:ascii="Times New Roman" w:hAnsi="Times New Roman"/>
          <w:b/>
          <w:i w:val="false"/>
          <w:color w:val="000000"/>
          <w:sz w:val="22"/>
        </w:rPr>
        <w:t xml:space="preserve">(8A) </w:t>
      </w:r>
      <w:r>
        <w:rPr>
          <w:rFonts w:ascii="Times New Roman" w:hAnsi="Times New Roman"/>
          <w:b/>
          <w:i w:val="false"/>
          <w:color w:val="000000"/>
          <w:sz w:val="22"/>
        </w:rPr>
        <w:t xml:space="preserve">Pay plan content. </w:t>
      </w:r>
      <w:r>
        <w:rPr>
          <w:rFonts w:ascii="Times New Roman" w:hAnsi="Times New Roman"/>
          <w:b w:val="false"/>
          <w:i w:val="false"/>
          <w:color w:val="000000"/>
          <w:sz w:val="22"/>
        </w:rPr>
        <w:t>Pay plans shall have numbered pay grades showing minimum and maximum salaries.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11—53.3</w:t>
      </w:r>
      <w:r>
        <w:rPr>
          <w:rFonts w:ascii="Times New Roman" w:hAnsi="Times New Roman"/>
          <w:b/>
          <w:i w:val="false"/>
          <w:color w:val="000000"/>
          <w:sz w:val="22"/>
        </w:rPr>
        <w:t xml:space="preserve">(8A) </w:t>
      </w:r>
      <w:r>
        <w:rPr>
          <w:rFonts w:ascii="Times New Roman" w:hAnsi="Times New Roman"/>
          <w:b/>
          <w:i w:val="false"/>
          <w:color w:val="000000"/>
          <w:sz w:val="22"/>
        </w:rPr>
        <w:t xml:space="preserve">Pay plan review and amendment. </w:t>
      </w:r>
      <w:r>
        <w:rPr>
          <w:rFonts w:ascii="Times New Roman" w:hAnsi="Times New Roman"/>
          <w:b w:val="false"/>
          <w:i w:val="false"/>
          <w:color w:val="000000"/>
          <w:sz w:val="22"/>
        </w:rPr>
        <w:t>The director shall review pay plans at least annually and, taking into account the results of collective bargaining and other factors, may adjust pay ranges or reassign classes to different pay grades.</w:t>
      </w:r>
    </w:p>
    <w:p>
      <w:pPr>
        <w:spacing w:before="0" w:after="0"/>
        <w:ind w:left="120"/>
        <w:jc w:val="both"/>
      </w:pPr>
      <w:r>
        <w:rPr>
          <w:rFonts w:ascii="Times New Roman" w:hAnsi="Times New Roman"/>
          <w:b/>
          <w:i w:val="false"/>
          <w:color w:val="000000"/>
          <w:sz w:val="22"/>
        </w:rPr>
        <w:t>11—53.4</w:t>
      </w:r>
      <w:r>
        <w:rPr>
          <w:rFonts w:ascii="Times New Roman" w:hAnsi="Times New Roman"/>
          <w:b/>
          <w:i w:val="false"/>
          <w:color w:val="000000"/>
          <w:sz w:val="22"/>
        </w:rPr>
        <w:t xml:space="preserve">(8A) </w:t>
      </w:r>
      <w:r>
        <w:rPr>
          <w:rFonts w:ascii="Times New Roman" w:hAnsi="Times New Roman"/>
          <w:b/>
          <w:i w:val="false"/>
          <w:color w:val="000000"/>
          <w:sz w:val="22"/>
        </w:rPr>
        <w:t xml:space="preserve">Pay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53.4(1)</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The director shall assign classes to pay plans and grades and shall assign employees to classes. Employees shall be paid at a rate between the minimum and maximum of the pay grade of the class to which the employee is assigned. Pay decisions shall be at the discretion of the appointing authority unless otherwise provided for in this chapter or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53.4(2)</w:t>
      </w:r>
      <w:r>
        <w:rPr>
          <w:rFonts w:ascii="Times New Roman" w:hAnsi="Times New Roman"/>
          <w:b w:val="false"/>
          <w:i w:val="false"/>
          <w:color w:val="000000"/>
          <w:sz w:val="22"/>
        </w:rPr>
        <w:t> </w:t>
      </w:r>
      <w:r>
        <w:rPr>
          <w:rFonts w:ascii="Times New Roman" w:hAnsi="Times New Roman"/>
          <w:b w:val="false"/>
          <w:i/>
          <w:color w:val="000000"/>
          <w:sz w:val="22"/>
        </w:rPr>
        <w:t xml:space="preserve">Appointed officials. </w:t>
      </w:r>
      <w:r>
        <w:rPr>
          <w:rFonts w:ascii="Times New Roman" w:hAnsi="Times New Roman"/>
          <w:b w:val="false"/>
          <w:i w:val="false"/>
          <w:color w:val="000000"/>
          <w:sz w:val="22"/>
        </w:rPr>
        <w:t>Unless otherwise provided for in the Iowa Code or these rules, the staff of the governor, full-time board and commission members, department directors, deputy directors, division administrators, independent agency heads and others whose appointments are provided for by law or who are appointed by the governor may be granted pay increases of any amount at any time within the pay grade of the class or position to which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53.4(3)</w:t>
      </w:r>
      <w:r>
        <w:rPr>
          <w:rFonts w:ascii="Times New Roman" w:hAnsi="Times New Roman"/>
          <w:b w:val="false"/>
          <w:i w:val="false"/>
          <w:color w:val="000000"/>
          <w:sz w:val="22"/>
        </w:rPr>
        <w:t> </w:t>
      </w:r>
      <w:r>
        <w:rPr>
          <w:rFonts w:ascii="Times New Roman" w:hAnsi="Times New Roman"/>
          <w:b w:val="false"/>
          <w:i/>
          <w:color w:val="000000"/>
          <w:sz w:val="22"/>
        </w:rPr>
        <w:t xml:space="preserve">Total compensation. </w:t>
      </w:r>
      <w:r>
        <w:rPr>
          <w:rFonts w:ascii="Times New Roman" w:hAnsi="Times New Roman"/>
          <w:b w:val="false"/>
          <w:i w:val="false"/>
          <w:color w:val="000000"/>
          <w:sz w:val="22"/>
        </w:rPr>
        <w:t>An employee shall not receive any pay other than that provided for the discharge of assigned duties, unless employed by the state in another capacity or specifically authorized in the Iowa Code, an Act of the general assembly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53.4(4)</w:t>
      </w:r>
      <w:r>
        <w:rPr>
          <w:rFonts w:ascii="Times New Roman" w:hAnsi="Times New Roman"/>
          <w:b w:val="false"/>
          <w:i w:val="false"/>
          <w:color w:val="000000"/>
          <w:sz w:val="22"/>
        </w:rPr>
        <w:t> </w:t>
      </w:r>
      <w:r>
        <w:rPr>
          <w:rFonts w:ascii="Times New Roman" w:hAnsi="Times New Roman"/>
          <w:b w:val="false"/>
          <w:i/>
          <w:color w:val="000000"/>
          <w:sz w:val="22"/>
        </w:rPr>
        <w:t xml:space="preserve">Part-time employment. </w:t>
      </w:r>
      <w:r>
        <w:rPr>
          <w:rFonts w:ascii="Times New Roman" w:hAnsi="Times New Roman"/>
          <w:b w:val="false"/>
          <w:i w:val="false"/>
          <w:color w:val="000000"/>
          <w:sz w:val="22"/>
        </w:rPr>
        <w:t>Pay for part-time employment shall be proportionate to full-time employment and based on hourly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changes. </w:t>
      </w:r>
      <w:r>
        <w:rPr>
          <w:rFonts w:ascii="Times New Roman" w:hAnsi="Times New Roman"/>
          <w:b w:val="false"/>
          <w:i w:val="false"/>
          <w:color w:val="000000"/>
          <w:sz w:val="22"/>
        </w:rPr>
        <w:t>All pay changes shall be effective on the first day of a pay period, unless otherwise approved by the director. Original appointments, reemployment and reinstatements shall be effective on the employee’s first day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53.4(6)</w:t>
      </w:r>
      <w:r>
        <w:rPr>
          <w:rFonts w:ascii="Times New Roman" w:hAnsi="Times New Roman"/>
          <w:b w:val="false"/>
          <w:i w:val="false"/>
          <w:color w:val="000000"/>
          <w:sz w:val="22"/>
        </w:rPr>
        <w:t> </w:t>
      </w:r>
      <w:r>
        <w:rPr>
          <w:rFonts w:ascii="Times New Roman" w:hAnsi="Times New Roman"/>
          <w:b w:val="false"/>
          <w:i/>
          <w:color w:val="000000"/>
          <w:sz w:val="22"/>
        </w:rPr>
        <w:t xml:space="preserve">General pay increases. </w:t>
      </w:r>
      <w:r>
        <w:rPr>
          <w:rFonts w:ascii="Times New Roman" w:hAnsi="Times New Roman"/>
          <w:b w:val="false"/>
          <w:i w:val="false"/>
          <w:color w:val="000000"/>
          <w:sz w:val="22"/>
        </w:rPr>
        <w:t>The director shall administer general pay increases for employees that have been authorized by the legislature and approved by the governor. An employee in a position whose pay has been red-circled above the maximum pay rate of the class to which the employee is assigned shall not receive a general pay increase unless specifically authorized by the Acts of the general assembly or otherwise provided for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53.4(7)</w:t>
      </w:r>
      <w:r>
        <w:rPr>
          <w:rFonts w:ascii="Times New Roman" w:hAnsi="Times New Roman"/>
          <w:b w:val="false"/>
          <w:i w:val="false"/>
          <w:color w:val="000000"/>
          <w:sz w:val="22"/>
        </w:rPr>
        <w:t> </w:t>
      </w:r>
      <w:r>
        <w:rPr>
          <w:rFonts w:ascii="Times New Roman" w:hAnsi="Times New Roman"/>
          <w:b w:val="false"/>
          <w:i/>
          <w:color w:val="000000"/>
          <w:sz w:val="22"/>
        </w:rPr>
        <w:t xml:space="preserve">Pay corrections. </w:t>
      </w:r>
      <w:r>
        <w:rPr>
          <w:rFonts w:ascii="Times New Roman" w:hAnsi="Times New Roman"/>
          <w:b w:val="false"/>
          <w:i w:val="false"/>
          <w:color w:val="000000"/>
          <w:sz w:val="22"/>
        </w:rPr>
        <w:t>An employee’s pay shall be corrected if it is found to be in violation of these rules or a collective bargaining agreement. Corrections shall be made on the first day of a pay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Retroactive pay. </w:t>
      </w:r>
      <w:r>
        <w:rPr>
          <w:rFonts w:ascii="Times New Roman" w:hAnsi="Times New Roman"/>
          <w:b w:val="false"/>
          <w:i w:val="false"/>
          <w:color w:val="000000"/>
          <w:sz w:val="22"/>
        </w:rPr>
        <w:t>An employee may receive retroactive pay in the same fiscal year for which the pay should have been paid. A request for retroactive pay must be received and processed no later than August 31 following the close of the fiscal year for which the request is made. Requests for retroactive pay which are not made in a timely fashion must be submitted to the state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Overpayment and underpayment. </w:t>
      </w:r>
      <w:r>
        <w:rPr>
          <w:rFonts w:ascii="Times New Roman" w:hAnsi="Times New Roman"/>
          <w:b w:val="false"/>
          <w:i w:val="false"/>
          <w:color w:val="000000"/>
          <w:sz w:val="22"/>
        </w:rPr>
        <w:t>If an error results in an employee’s being overpaid for wages, except for FICA, state and federal income taxes and IPERS contributions shall be collected. Also, premiums for health, dental and life insurance benefits that have been underpaid shall be subject to collection. An employee may choose to repay the amount from wages in the pay period following discovery of the error or have the overpayment deducted from succeeding pay periods not to exceed the number of pay periods during which the overpayment occurred, or the employee or appointing authority may submit an alternate repayment plan to the director. The repayment plan shall identify the details of the overpayment, the reasons why the department’s recouping the amount of overpayment in the same number of pay periods as those during which the overpayment occurred presents a hardship to the employee, and the terms of the alternate repayment plan. The director shall notify the appointing authority of the decision on the alternate repayment plan. If the employee separates from employment, the amount remaining shall be deducted from wages, vacation payout, applicable sick leave payout and any wage correction payback from IPERS. The collection of overpaid wages shall not result in reducing the employee’s pay below relevant state and federal minimum wage statutes for each hour actually worked during the pay period in which the collection of overpaid wages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11—53.5</w:t>
      </w:r>
      <w:r>
        <w:rPr>
          <w:rFonts w:ascii="Times New Roman" w:hAnsi="Times New Roman"/>
          <w:b/>
          <w:i w:val="false"/>
          <w:color w:val="000000"/>
          <w:sz w:val="22"/>
        </w:rPr>
        <w:t xml:space="preserve">(8A) </w:t>
      </w:r>
      <w:r>
        <w:rPr>
          <w:rFonts w:ascii="Times New Roman" w:hAnsi="Times New Roman"/>
          <w:b/>
          <w:i w:val="false"/>
          <w:color w:val="000000"/>
          <w:sz w:val="22"/>
        </w:rPr>
        <w:t xml:space="preserve">Appointment rates. </w:t>
      </w:r>
      <w:r>
        <w:rPr>
          <w:rFonts w:ascii="Times New Roman" w:hAnsi="Times New Roman"/>
          <w:b w:val="false"/>
          <w:i w:val="false"/>
          <w:color w:val="000000"/>
          <w:sz w:val="22"/>
        </w:rPr>
        <w:t>An employee shall be paid at the minimum pay rate for the class to which appointed,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53.5(1)</w:t>
      </w:r>
      <w:r>
        <w:rPr>
          <w:rFonts w:ascii="Times New Roman" w:hAnsi="Times New Roman"/>
          <w:b w:val="false"/>
          <w:i w:val="false"/>
          <w:color w:val="000000"/>
          <w:sz w:val="22"/>
        </w:rPr>
        <w:t> </w:t>
      </w:r>
      <w:r>
        <w:rPr>
          <w:rFonts w:ascii="Times New Roman" w:hAnsi="Times New Roman"/>
          <w:b w:val="false"/>
          <w:i/>
          <w:color w:val="000000"/>
          <w:sz w:val="22"/>
        </w:rPr>
        <w:t xml:space="preserve">Individual advanced appointment rate. </w:t>
      </w:r>
      <w:r>
        <w:rPr>
          <w:rFonts w:ascii="Times New Roman" w:hAnsi="Times New Roman"/>
          <w:b w:val="false"/>
          <w:i w:val="false"/>
          <w:color w:val="000000"/>
          <w:sz w:val="22"/>
        </w:rPr>
        <w:t>For new hires and reinstatements, the appointing authority may request pay in excess of the minimum based on education and experience directly related to duties that exceed the minimum qualifications of the class. The appointing authority shall maintain a written record of the justification for the advanced appointment rate. The record shall be a part of the official employee file. All employees possessing equivalent qualifications in the same class and with the same appointing authority may be adjusted to the advanced rate. Individual advanced appointment rates are subject to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53.5(2)</w:t>
      </w:r>
      <w:r>
        <w:rPr>
          <w:rFonts w:ascii="Times New Roman" w:hAnsi="Times New Roman"/>
          <w:b w:val="false"/>
          <w:i w:val="false"/>
          <w:color w:val="000000"/>
          <w:sz w:val="22"/>
        </w:rPr>
        <w:t> </w:t>
      </w:r>
      <w:r>
        <w:rPr>
          <w:rFonts w:ascii="Times New Roman" w:hAnsi="Times New Roman"/>
          <w:b w:val="false"/>
          <w:i/>
          <w:color w:val="000000"/>
          <w:sz w:val="22"/>
        </w:rPr>
        <w:t xml:space="preserve">Blanket advanced rate. </w:t>
      </w:r>
      <w:r>
        <w:rPr>
          <w:rFonts w:ascii="Times New Roman" w:hAnsi="Times New Roman"/>
          <w:b w:val="false"/>
          <w:i w:val="false"/>
          <w:color w:val="000000"/>
          <w:sz w:val="22"/>
        </w:rPr>
        <w:t>If there is a scarcity of applicants, an appointing authority may submit a written request to the director documenting the economic or employment conditions that make employment at the minimum pay rate for a class unlikely. The director may authorize appointments beyond the minimum rate for the class as a whole or in a specific geographical area. All current employees and new or promoted employees under the same conditions and in the same class shall be paid the higher rate. This rate shall remain in effect until rescinded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53.5(3)</w:t>
      </w:r>
      <w:r>
        <w:rPr>
          <w:rFonts w:ascii="Times New Roman" w:hAnsi="Times New Roman"/>
          <w:b w:val="false"/>
          <w:i w:val="false"/>
          <w:color w:val="000000"/>
          <w:sz w:val="22"/>
        </w:rPr>
        <w:t> </w:t>
      </w:r>
      <w:r>
        <w:rPr>
          <w:rFonts w:ascii="Times New Roman" w:hAnsi="Times New Roman"/>
          <w:b w:val="false"/>
          <w:i/>
          <w:color w:val="000000"/>
          <w:sz w:val="22"/>
        </w:rPr>
        <w:t xml:space="preserve">Trainee.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1/28/04</w:t>
      </w:r>
      <w:r>
        <w:rPr>
          <w:rFonts w:ascii="Times New Roman" w:hAnsi="Times New Roman"/>
          <w:b w:val="false"/>
          <w:i w:val="false"/>
          <w:color w:val="000000"/>
          <w:sz w:val="22"/>
        </w:rPr>
        <w:t>, effective 3/24/04.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53.5(4)</w:t>
      </w:r>
      <w:r>
        <w:rPr>
          <w:rFonts w:ascii="Times New Roman" w:hAnsi="Times New Roman"/>
          <w:b w:val="false"/>
          <w:i w:val="false"/>
          <w:color w:val="000000"/>
          <w:sz w:val="22"/>
        </w:rPr>
        <w:t> </w:t>
      </w:r>
      <w:r>
        <w:rPr>
          <w:rFonts w:ascii="Times New Roman" w:hAnsi="Times New Roman"/>
          <w:b w:val="false"/>
          <w:i/>
          <w:color w:val="000000"/>
          <w:sz w:val="22"/>
        </w:rPr>
        <w:t xml:space="preserve">Internship.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1/28/04</w:t>
      </w:r>
      <w:r>
        <w:rPr>
          <w:rFonts w:ascii="Times New Roman" w:hAnsi="Times New Roman"/>
          <w:b w:val="false"/>
          <w:i w:val="false"/>
          <w:color w:val="000000"/>
          <w:sz w:val="22"/>
        </w:rPr>
        <w:t>, effective 3/24/04.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53.5(5)</w:t>
      </w:r>
      <w:r>
        <w:rPr>
          <w:rFonts w:ascii="Times New Roman" w:hAnsi="Times New Roman"/>
          <w:b w:val="false"/>
          <w:i w:val="false"/>
          <w:color w:val="000000"/>
          <w:sz w:val="22"/>
        </w:rPr>
        <w:t> </w:t>
      </w:r>
      <w:r>
        <w:rPr>
          <w:rFonts w:ascii="Times New Roman" w:hAnsi="Times New Roman"/>
          <w:b w:val="false"/>
          <w:i/>
          <w:color w:val="000000"/>
          <w:sz w:val="22"/>
        </w:rPr>
        <w:t xml:space="preserve">Temporary, seasonal, and internship. </w:t>
      </w:r>
      <w:r>
        <w:rPr>
          <w:rFonts w:ascii="Times New Roman" w:hAnsi="Times New Roman"/>
          <w:b w:val="false"/>
          <w:i w:val="false"/>
          <w:color w:val="000000"/>
          <w:sz w:val="22"/>
        </w:rPr>
        <w:t>When an appointment is made to a class on a temporary, seasonal, or internship basis, the employee may be paid at any rate within the pay grade to which the class is assigned. Such employees may be given authorized, noncontract salary, across-the-board adjustments within the minimum and maximum rates of the pay grade. Temporary, seasonal and internship employees are not eligible for within-grade increases based on performance or time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53.5(6)</w:t>
      </w:r>
      <w:r>
        <w:rPr>
          <w:rFonts w:ascii="Times New Roman" w:hAnsi="Times New Roman"/>
          <w:b w:val="false"/>
          <w:i w:val="false"/>
          <w:color w:val="000000"/>
          <w:sz w:val="22"/>
        </w:rPr>
        <w:t> </w:t>
      </w:r>
      <w:r>
        <w:rPr>
          <w:rFonts w:ascii="Times New Roman" w:hAnsi="Times New Roman"/>
          <w:b w:val="false"/>
          <w:i/>
          <w:color w:val="000000"/>
          <w:sz w:val="22"/>
        </w:rPr>
        <w:t xml:space="preserve">Overlap. </w:t>
      </w:r>
      <w:r>
        <w:rPr>
          <w:rFonts w:ascii="Times New Roman" w:hAnsi="Times New Roman"/>
          <w:b w:val="false"/>
          <w:i w:val="false"/>
          <w:color w:val="000000"/>
          <w:sz w:val="22"/>
        </w:rPr>
        <w:t>When an appointment is made on an overlap basis, the employee shall be paid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11—53.6</w:t>
      </w:r>
      <w:r>
        <w:rPr>
          <w:rFonts w:ascii="Times New Roman" w:hAnsi="Times New Roman"/>
          <w:b/>
          <w:i w:val="false"/>
          <w:color w:val="000000"/>
          <w:sz w:val="22"/>
        </w:rPr>
        <w:t xml:space="preserve">(8A) </w:t>
      </w:r>
      <w:r>
        <w:rPr>
          <w:rFonts w:ascii="Times New Roman" w:hAnsi="Times New Roman"/>
          <w:b/>
          <w:i w:val="false"/>
          <w:color w:val="000000"/>
          <w:sz w:val="22"/>
        </w:rPr>
        <w:t xml:space="preserve">Payroll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53.6(1)</w:t>
      </w:r>
      <w:r>
        <w:rPr>
          <w:rFonts w:ascii="Times New Roman" w:hAnsi="Times New Roman"/>
          <w:b w:val="false"/>
          <w:i w:val="false"/>
          <w:color w:val="000000"/>
          <w:sz w:val="22"/>
        </w:rPr>
        <w:t> </w:t>
      </w:r>
      <w:r>
        <w:rPr>
          <w:rFonts w:ascii="Times New Roman" w:hAnsi="Times New Roman"/>
          <w:b w:val="false"/>
          <w:i/>
          <w:color w:val="000000"/>
          <w:sz w:val="22"/>
        </w:rPr>
        <w:t xml:space="preserve">Pay at least at minimum. </w:t>
      </w:r>
      <w:r>
        <w:rPr>
          <w:rFonts w:ascii="Times New Roman" w:hAnsi="Times New Roman"/>
          <w:b w:val="false"/>
          <w:i w:val="false"/>
          <w:color w:val="000000"/>
          <w:sz w:val="22"/>
        </w:rPr>
        <w:t xml:space="preserve">If a transaction results in an employee’s being paid from a different pay plan or pay grade, the employee shall be paid at least the minimum pay rate of the class to which assigned, except as provided in subrules </w:t>
      </w:r>
      <w:hyperlink r:id="rId5">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53.6(2)</w:t>
      </w:r>
      <w:r>
        <w:rPr>
          <w:rFonts w:ascii="Times New Roman" w:hAnsi="Times New Roman"/>
          <w:b w:val="false"/>
          <w:i w:val="false"/>
          <w:color w:val="000000"/>
          <w:sz w:val="22"/>
        </w:rPr>
        <w:t> </w:t>
      </w:r>
      <w:r>
        <w:rPr>
          <w:rFonts w:ascii="Times New Roman" w:hAnsi="Times New Roman"/>
          <w:b w:val="false"/>
          <w:i/>
          <w:color w:val="000000"/>
          <w:sz w:val="22"/>
        </w:rPr>
        <w:t xml:space="preserve">Pay not to exceed maximum. </w:t>
      </w:r>
      <w:r>
        <w:rPr>
          <w:rFonts w:ascii="Times New Roman" w:hAnsi="Times New Roman"/>
          <w:b w:val="false"/>
          <w:i w:val="false"/>
          <w:color w:val="000000"/>
          <w:sz w:val="22"/>
        </w:rPr>
        <w:t xml:space="preserve">If a transaction results in an employee’s being paid from a different pay plan or pay grade, the employee’s pay shall not exceed the maximum pay rate of the class to which assigned, except as provided in subrule </w:t>
      </w:r>
      <w:hyperlink r:id="rId7">
        <w:r>
          <w:rPr>
            <w:rStyle w:val="Hyperlink"/>
            <w:rFonts w:ascii="Times New Roman" w:hAnsi="Times New Roman"/>
            <w:b w:val="false"/>
            <w:i w:val="false"/>
            <w:color w:val="000000"/>
            <w:sz w:val="22"/>
          </w:rPr>
          <w:t>53.6(3)</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53.6(13)</w:t>
        </w:r>
      </w:hyperlink>
      <w:r>
        <w:rPr>
          <w:rFonts w:ascii="Times New Roman" w:hAnsi="Times New Roman"/>
          <w:b w:val="false"/>
          <w:i w:val="false"/>
          <w:color w:val="000000"/>
          <w:sz w:val="22"/>
        </w:rPr>
        <w:t xml:space="preserve"> or rule </w:t>
      </w:r>
      <w:hyperlink r:id="rId9">
        <w:r>
          <w:rPr>
            <w:rStyle w:val="Hyperlink"/>
            <w:rFonts w:ascii="Times New Roman" w:hAnsi="Times New Roman"/>
            <w:b w:val="false"/>
            <w:i w:val="false"/>
            <w:color w:val="000000"/>
            <w:sz w:val="22"/>
          </w:rPr>
          <w:t>11—53.8(8A)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53.6(3)</w:t>
      </w:r>
      <w:r>
        <w:rPr>
          <w:rFonts w:ascii="Times New Roman" w:hAnsi="Times New Roman"/>
          <w:b w:val="false"/>
          <w:i w:val="false"/>
          <w:color w:val="000000"/>
          <w:sz w:val="22"/>
        </w:rPr>
        <w:t> </w:t>
      </w:r>
      <w:r>
        <w:rPr>
          <w:rFonts w:ascii="Times New Roman" w:hAnsi="Times New Roman"/>
          <w:b w:val="false"/>
          <w:i/>
          <w:color w:val="000000"/>
          <w:sz w:val="22"/>
        </w:rPr>
        <w:t xml:space="preserve">Red-circling. </w:t>
      </w:r>
      <w:r>
        <w:rPr>
          <w:rFonts w:ascii="Times New Roman" w:hAnsi="Times New Roman"/>
          <w:b w:val="false"/>
          <w:i w:val="false"/>
          <w:color w:val="000000"/>
          <w:sz w:val="22"/>
        </w:rPr>
        <w:t>If the pay of an employee exceeds the maximum pay for the class to which the employee is assigned, the employee’s pay may be maintained (red-circled) above the maximum for up to one year. Requests to change the time period or the red-circled rate must first be submitted to the director for approval. If a request is approved, the appointing authority shall notify the employee in writing of any changes in the time period and the pay. If an employee’s classification or agency changes, a request to rescind the red-circling may be submitted by the appointing authority to the director for approval. The director may also require red-circling in certain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53.6(4)</w:t>
      </w:r>
      <w:r>
        <w:rPr>
          <w:rFonts w:ascii="Times New Roman" w:hAnsi="Times New Roman"/>
          <w:b w:val="false"/>
          <w:i w:val="false"/>
          <w:color w:val="000000"/>
          <w:sz w:val="22"/>
        </w:rPr>
        <w:t> </w:t>
      </w:r>
      <w:r>
        <w:rPr>
          <w:rFonts w:ascii="Times New Roman" w:hAnsi="Times New Roman"/>
          <w:b w:val="false"/>
          <w:i/>
          <w:color w:val="000000"/>
          <w:sz w:val="22"/>
        </w:rPr>
        <w:t xml:space="preserve">Pay plan changes. </w:t>
      </w:r>
      <w:r>
        <w:rPr>
          <w:rFonts w:ascii="Times New Roman" w:hAnsi="Times New Roman"/>
          <w:b w:val="false"/>
          <w:i w:val="false"/>
          <w:color w:val="000000"/>
          <w:sz w:val="22"/>
        </w:rPr>
        <w:t xml:space="preserve">If a transaction results in an employee’s being paid from a different pay plan, the employee shall be paid at the employee’s current pay rate, except as provided in subrules </w:t>
      </w:r>
      <w:hyperlink r:id="rId10">
        <w:r>
          <w:rPr>
            <w:rStyle w:val="Hyperlink"/>
            <w:rFonts w:ascii="Times New Roman" w:hAnsi="Times New Roman"/>
            <w:b w:val="false"/>
            <w:i w:val="false"/>
            <w:color w:val="000000"/>
            <w:sz w:val="22"/>
          </w:rPr>
          <w:t>53.6(1)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xml:space="preserve">. For demotions, the employee’s pay shall be at the discretion of the appointing authority so long as the employee’s pay is not greater than it was prior to the demotion. For setting eligibility dates, see subrule </w:t>
      </w:r>
      <w:hyperlink r:id="rId12">
        <w:r>
          <w:rPr>
            <w:rStyle w:val="Hyperlink"/>
            <w:rFonts w:ascii="Times New Roman" w:hAnsi="Times New Roman"/>
            <w:b w:val="false"/>
            <w:i w:val="false"/>
            <w:color w:val="000000"/>
            <w:sz w:val="22"/>
          </w:rPr>
          <w:t>53.7(5)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53.6(5)</w:t>
      </w:r>
      <w:r>
        <w:rPr>
          <w:rFonts w:ascii="Times New Roman" w:hAnsi="Times New Roman"/>
          <w:b w:val="false"/>
          <w:i w:val="false"/>
          <w:color w:val="000000"/>
          <w:sz w:val="22"/>
        </w:rPr>
        <w:t> </w:t>
      </w:r>
      <w:r>
        <w:rPr>
          <w:rFonts w:ascii="Times New Roman" w:hAnsi="Times New Roman"/>
          <w:b w:val="false"/>
          <w:i/>
          <w:color w:val="000000"/>
          <w:sz w:val="22"/>
        </w:rPr>
        <w:t xml:space="preserve">Pay grade changes. </w:t>
      </w:r>
      <w:r>
        <w:rPr>
          <w:rFonts w:ascii="Times New Roman" w:hAnsi="Times New Roman"/>
          <w:b w:val="false"/>
          <w:i w:val="false"/>
          <w:color w:val="000000"/>
          <w:sz w:val="22"/>
        </w:rPr>
        <w:t xml:space="preserve">If a transaction results in an employee being paid in a higher pay grade, the employee’s pay may be increased by up to 5 percent for each grade above the employee’s current pay grade, except as provided in subrules </w:t>
      </w:r>
      <w:hyperlink r:id="rId13">
        <w:r>
          <w:rPr>
            <w:rStyle w:val="Hyperlink"/>
            <w:rFonts w:ascii="Times New Roman" w:hAnsi="Times New Roman"/>
            <w:b w:val="false"/>
            <w:i w:val="false"/>
            <w:color w:val="000000"/>
            <w:sz w:val="22"/>
          </w:rPr>
          <w:t>53.6(1)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xml:space="preserve">. The implementation of pay grade changes for employees in contract classes may be negotiated with the applicable collective bargaining representative to the extent required. For setting eligibility dates, see subrule </w:t>
      </w:r>
      <w:hyperlink r:id="rId15">
        <w:r>
          <w:rPr>
            <w:rStyle w:val="Hyperlink"/>
            <w:rFonts w:ascii="Times New Roman" w:hAnsi="Times New Roman"/>
            <w:b w:val="false"/>
            <w:i w:val="false"/>
            <w:color w:val="000000"/>
            <w:sz w:val="22"/>
          </w:rPr>
          <w:t>53.7(5)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53.6(6)</w:t>
      </w:r>
      <w:r>
        <w:rPr>
          <w:rFonts w:ascii="Times New Roman" w:hAnsi="Times New Roman"/>
          <w:b w:val="false"/>
          <w:i w:val="false"/>
          <w:color w:val="000000"/>
          <w:sz w:val="22"/>
        </w:rPr>
        <w:t> </w:t>
      </w:r>
      <w:r>
        <w:rPr>
          <w:rFonts w:ascii="Times New Roman" w:hAnsi="Times New Roman"/>
          <w:b w:val="false"/>
          <w:i/>
          <w:color w:val="000000"/>
          <w:sz w:val="22"/>
        </w:rPr>
        <w:t xml:space="preserve">Promotion. </w:t>
      </w:r>
      <w:r>
        <w:rPr>
          <w:rFonts w:ascii="Times New Roman" w:hAnsi="Times New Roman"/>
          <w:b w:val="false"/>
          <w:i w:val="false"/>
          <w:color w:val="000000"/>
          <w:sz w:val="22"/>
        </w:rPr>
        <w:t xml:space="preserve">For setting eligibility dates, see subrule </w:t>
      </w:r>
      <w:hyperlink r:id="rId16">
        <w:r>
          <w:rPr>
            <w:rStyle w:val="Hyperlink"/>
            <w:rFonts w:ascii="Times New Roman" w:hAnsi="Times New Roman"/>
            <w:b w:val="false"/>
            <w:i w:val="false"/>
            <w:color w:val="000000"/>
            <w:sz w:val="22"/>
          </w:rPr>
          <w:t>53.7(5)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employee is promoted, the employee may be paid at any rate in the pay grade of the pay plan to which the employee’s new class is assigned, except as provided in subrules </w:t>
      </w:r>
      <w:hyperlink r:id="rId17">
        <w:r>
          <w:rPr>
            <w:rStyle w:val="Hyperlink"/>
            <w:rFonts w:ascii="Times New Roman" w:hAnsi="Times New Roman"/>
            <w:b w:val="false"/>
            <w:i w:val="false"/>
            <w:color w:val="000000"/>
            <w:sz w:val="22"/>
          </w:rPr>
          <w:t>53.6(1)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7/19/17</w:t>
      </w:r>
      <w:r>
        <w:rPr>
          <w:rFonts w:ascii="Times New Roman" w:hAnsi="Times New Roman"/>
          <w:b w:val="false"/>
          <w:i w:val="false"/>
          <w:color w:val="000000"/>
          <w:sz w:val="22"/>
        </w:rPr>
        <w:t>, effective 7/1/17.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Leadworker. If an employee who is receiving additional pay for leadworker duties is promoted, the pay increase shall be calculated using the employee’s new base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53.6(7)</w:t>
      </w:r>
      <w:r>
        <w:rPr>
          <w:rFonts w:ascii="Times New Roman" w:hAnsi="Times New Roman"/>
          <w:b w:val="false"/>
          <w:i w:val="false"/>
          <w:color w:val="000000"/>
          <w:sz w:val="22"/>
        </w:rPr>
        <w:t> </w:t>
      </w:r>
      <w:r>
        <w:rPr>
          <w:rFonts w:ascii="Times New Roman" w:hAnsi="Times New Roman"/>
          <w:b w:val="false"/>
          <w:i/>
          <w:color w:val="000000"/>
          <w:sz w:val="22"/>
        </w:rPr>
        <w:t xml:space="preserve">Demotion. </w:t>
      </w:r>
      <w:r>
        <w:rPr>
          <w:rFonts w:ascii="Times New Roman" w:hAnsi="Times New Roman"/>
          <w:b w:val="false"/>
          <w:i w:val="false"/>
          <w:color w:val="000000"/>
          <w:sz w:val="22"/>
        </w:rPr>
        <w:t xml:space="preserve">If an employee demotes voluntarily or is disciplinarily demoted, the employee may be paid at any pay rate within the pay grade of the pay plan to which the employee’s new class is assigned that does not exceed the employee’s pay at the time of demotion, except as provided in subrules </w:t>
      </w:r>
      <w:hyperlink r:id="rId19">
        <w:r>
          <w:rPr>
            <w:rStyle w:val="Hyperlink"/>
            <w:rFonts w:ascii="Times New Roman" w:hAnsi="Times New Roman"/>
            <w:b w:val="false"/>
            <w:i w:val="false"/>
            <w:color w:val="000000"/>
            <w:sz w:val="22"/>
          </w:rPr>
          <w:t>53.6(1)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53.6(4)</w:t>
        </w:r>
      </w:hyperlink>
      <w:r>
        <w:rPr>
          <w:rFonts w:ascii="Times New Roman" w:hAnsi="Times New Roman"/>
          <w:b w:val="false"/>
          <w:i w:val="false"/>
          <w:color w:val="000000"/>
          <w:sz w:val="22"/>
        </w:rPr>
        <w:t xml:space="preserve">. For setting eligibility dates, see subrule </w:t>
      </w:r>
      <w:hyperlink r:id="rId22">
        <w:r>
          <w:rPr>
            <w:rStyle w:val="Hyperlink"/>
            <w:rFonts w:ascii="Times New Roman" w:hAnsi="Times New Roman"/>
            <w:b w:val="false"/>
            <w:i w:val="false"/>
            <w:color w:val="000000"/>
            <w:sz w:val="22"/>
          </w:rPr>
          <w:t>53.7(5)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53.6(8)</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 xml:space="preserve">If an employee transfers under these rules to a different class, the employee shall be paid at the employee’s current pay rate, except as provided in subrules </w:t>
      </w:r>
      <w:hyperlink r:id="rId23">
        <w:r>
          <w:rPr>
            <w:rStyle w:val="Hyperlink"/>
            <w:rFonts w:ascii="Times New Roman" w:hAnsi="Times New Roman"/>
            <w:b w:val="false"/>
            <w:i w:val="false"/>
            <w:color w:val="000000"/>
            <w:sz w:val="22"/>
          </w:rPr>
          <w:t>53.6(1)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53.6(4)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53.6(9)</w:t>
      </w:r>
      <w:r>
        <w:rPr>
          <w:rFonts w:ascii="Times New Roman" w:hAnsi="Times New Roman"/>
          <w:b w:val="false"/>
          <w:i w:val="false"/>
          <w:color w:val="000000"/>
          <w:sz w:val="22"/>
        </w:rPr>
        <w:t> </w:t>
      </w:r>
      <w:r>
        <w:rPr>
          <w:rFonts w:ascii="Times New Roman" w:hAnsi="Times New Roman"/>
          <w:b w:val="false"/>
          <w:i/>
          <w:color w:val="000000"/>
          <w:sz w:val="22"/>
        </w:rPr>
        <w:t xml:space="preserve">Reclassification. </w:t>
      </w:r>
      <w:r>
        <w:rPr>
          <w:rFonts w:ascii="Times New Roman" w:hAnsi="Times New Roman"/>
          <w:b w:val="false"/>
          <w:i w:val="false"/>
          <w:color w:val="000000"/>
          <w:sz w:val="22"/>
        </w:rPr>
        <w:t xml:space="preserve">If an employee’s position is reclassified, the employee shall be paid as provided for in subrule </w:t>
      </w:r>
      <w:hyperlink r:id="rId26">
        <w:r>
          <w:rPr>
            <w:rStyle w:val="Hyperlink"/>
            <w:rFonts w:ascii="Times New Roman" w:hAnsi="Times New Roman"/>
            <w:b w:val="false"/>
            <w:i w:val="false"/>
            <w:color w:val="000000"/>
            <w:sz w:val="22"/>
          </w:rPr>
          <w:t>53.6(6)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53.6(7)</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53.6(8)</w:t>
        </w:r>
      </w:hyperlink>
      <w:r>
        <w:rPr>
          <w:rFonts w:ascii="Times New Roman" w:hAnsi="Times New Roman"/>
          <w:b w:val="false"/>
          <w:i w:val="false"/>
          <w:color w:val="000000"/>
          <w:sz w:val="22"/>
        </w:rPr>
        <w:t xml:space="preserve">, whichever is applicable. For setting eligibility dates, see subrule </w:t>
      </w:r>
      <w:hyperlink r:id="rId29">
        <w:r>
          <w:rPr>
            <w:rStyle w:val="Hyperlink"/>
            <w:rFonts w:ascii="Times New Roman" w:hAnsi="Times New Roman"/>
            <w:b w:val="false"/>
            <w:i w:val="false"/>
            <w:color w:val="000000"/>
            <w:sz w:val="22"/>
          </w:rPr>
          <w:t>53.7(5)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53.6(10)</w:t>
      </w:r>
      <w:r>
        <w:rPr>
          <w:rFonts w:ascii="Times New Roman" w:hAnsi="Times New Roman"/>
          <w:b w:val="false"/>
          <w:i w:val="false"/>
          <w:color w:val="000000"/>
          <w:sz w:val="22"/>
        </w:rPr>
        <w:t> </w:t>
      </w:r>
      <w:r>
        <w:rPr>
          <w:rFonts w:ascii="Times New Roman" w:hAnsi="Times New Roman"/>
          <w:b w:val="false"/>
          <w:i/>
          <w:color w:val="000000"/>
          <w:sz w:val="22"/>
        </w:rPr>
        <w:t xml:space="preserve">Return from leave. </w:t>
      </w:r>
      <w:r>
        <w:rPr>
          <w:rFonts w:ascii="Times New Roman" w:hAnsi="Times New Roman"/>
          <w:b w:val="false"/>
          <w:i w:val="false"/>
          <w:color w:val="000000"/>
          <w:sz w:val="22"/>
        </w:rPr>
        <w:t xml:space="preserve">If an employee returns from an authorized leave, the employee shall be paid at the same pay rate as prior to the leave, including any pay grade, pay plan, class or general salary increases for which the employee would have been eligible if not on leave, except as provided for in subrules </w:t>
      </w:r>
      <w:hyperlink r:id="rId30">
        <w:r>
          <w:rPr>
            <w:rStyle w:val="Hyperlink"/>
            <w:rFonts w:ascii="Times New Roman" w:hAnsi="Times New Roman"/>
            <w:b w:val="false"/>
            <w:i w:val="false"/>
            <w:color w:val="000000"/>
            <w:sz w:val="22"/>
          </w:rPr>
          <w:t>53.6(1)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xml:space="preserve">. For setting eligibility dates, see subrule </w:t>
      </w:r>
      <w:hyperlink r:id="rId32">
        <w:r>
          <w:rPr>
            <w:rStyle w:val="Hyperlink"/>
            <w:rFonts w:ascii="Times New Roman" w:hAnsi="Times New Roman"/>
            <w:b w:val="false"/>
            <w:i w:val="false"/>
            <w:color w:val="000000"/>
            <w:sz w:val="22"/>
          </w:rPr>
          <w:t>53.7(5)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53.6(11)</w:t>
      </w:r>
      <w:r>
        <w:rPr>
          <w:rFonts w:ascii="Times New Roman" w:hAnsi="Times New Roman"/>
          <w:b w:val="false"/>
          <w:i w:val="false"/>
          <w:color w:val="000000"/>
          <w:sz w:val="22"/>
        </w:rPr>
        <w:t> </w:t>
      </w:r>
      <w:r>
        <w:rPr>
          <w:rFonts w:ascii="Times New Roman" w:hAnsi="Times New Roman"/>
          <w:b w:val="false"/>
          <w:i/>
          <w:color w:val="000000"/>
          <w:sz w:val="22"/>
        </w:rPr>
        <w:t xml:space="preserve">Recall. </w:t>
      </w:r>
      <w:r>
        <w:rPr>
          <w:rFonts w:ascii="Times New Roman" w:hAnsi="Times New Roman"/>
          <w:b w:val="false"/>
          <w:i w:val="false"/>
          <w:color w:val="000000"/>
          <w:sz w:val="22"/>
        </w:rPr>
        <w:t xml:space="preserve">If an employee is recalled in accordance with </w:t>
      </w:r>
      <w:hyperlink r:id="rId33">
        <w:r>
          <w:rPr>
            <w:rStyle w:val="Hyperlink"/>
            <w:rFonts w:ascii="Times New Roman" w:hAnsi="Times New Roman"/>
            <w:b w:val="false"/>
            <w:i w:val="false"/>
            <w:color w:val="000000"/>
            <w:sz w:val="22"/>
          </w:rPr>
          <w:t>11—subrule 60.3(6)</w:t>
        </w:r>
      </w:hyperlink>
      <w:r>
        <w:rPr>
          <w:rFonts w:ascii="Times New Roman" w:hAnsi="Times New Roman"/>
          <w:b w:val="false"/>
          <w:i w:val="false"/>
          <w:color w:val="000000"/>
          <w:sz w:val="22"/>
        </w:rPr>
        <w:t xml:space="preserve">, the employee shall be paid at the same step or pay rate as when laid off or bumped, including any pay grade, pay plan, class or general salary increases, except as provided in subrules </w:t>
      </w:r>
      <w:hyperlink r:id="rId34">
        <w:r>
          <w:rPr>
            <w:rStyle w:val="Hyperlink"/>
            <w:rFonts w:ascii="Times New Roman" w:hAnsi="Times New Roman"/>
            <w:b w:val="false"/>
            <w:i w:val="false"/>
            <w:color w:val="000000"/>
            <w:sz w:val="22"/>
          </w:rPr>
          <w:t>53.6(1)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xml:space="preserve">. For setting eligibility dates, see subrule </w:t>
      </w:r>
      <w:hyperlink r:id="rId36">
        <w:r>
          <w:rPr>
            <w:rStyle w:val="Hyperlink"/>
            <w:rFonts w:ascii="Times New Roman" w:hAnsi="Times New Roman"/>
            <w:b w:val="false"/>
            <w:i w:val="false"/>
            <w:color w:val="000000"/>
            <w:sz w:val="22"/>
          </w:rPr>
          <w:t>53.7(5)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53.6(12)</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8/6/14</w:t>
      </w:r>
      <w:r>
        <w:rPr>
          <w:rFonts w:ascii="Times New Roman" w:hAnsi="Times New Roman"/>
          <w:b w:val="false"/>
          <w:i w:val="false"/>
          <w:color w:val="000000"/>
          <w:sz w:val="22"/>
        </w:rPr>
        <w:t>, effective 9/10/14.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53.6(13)</w:t>
      </w:r>
      <w:r>
        <w:rPr>
          <w:rFonts w:ascii="Times New Roman" w:hAnsi="Times New Roman"/>
          <w:b w:val="false"/>
          <w:i w:val="false"/>
          <w:color w:val="000000"/>
          <w:sz w:val="22"/>
        </w:rPr>
        <w:t> </w:t>
      </w:r>
      <w:r>
        <w:rPr>
          <w:rFonts w:ascii="Times New Roman" w:hAnsi="Times New Roman"/>
          <w:b w:val="false"/>
          <w:i/>
          <w:color w:val="000000"/>
          <w:sz w:val="22"/>
        </w:rPr>
        <w:t xml:space="preserve">Change of duty station. </w:t>
      </w:r>
      <w:r>
        <w:rPr>
          <w:rFonts w:ascii="Times New Roman" w:hAnsi="Times New Roman"/>
          <w:b w:val="false"/>
          <w:i w:val="false"/>
          <w:color w:val="000000"/>
          <w:sz w:val="22"/>
        </w:rPr>
        <w:t>If an employee is promoted, reassigned or voluntarily demoted at the convenience of the appointing authority and a change in duty station beyond 25 miles is required, the employee may receive a one-step or up to 5 percent pay increase. The pay may exceed the maximum pay for the class to which assigned. Notice must first be given to the director. Subsequent changes in duty station may result in the additional pay being removed.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11—53.7</w:t>
      </w:r>
      <w:r>
        <w:rPr>
          <w:rFonts w:ascii="Times New Roman" w:hAnsi="Times New Roman"/>
          <w:b/>
          <w:i w:val="false"/>
          <w:color w:val="000000"/>
          <w:sz w:val="22"/>
        </w:rPr>
        <w:t xml:space="preserve">(8A) </w:t>
      </w:r>
      <w:r>
        <w:rPr>
          <w:rFonts w:ascii="Times New Roman" w:hAnsi="Times New Roman"/>
          <w:b/>
          <w:i w:val="false"/>
          <w:color w:val="000000"/>
          <w:sz w:val="22"/>
        </w:rPr>
        <w:t xml:space="preserve">Within grade increases.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 employee, upon completion of a minimum pay increase eligibility period, may receive a periodic increase in base pay that is within the pay grade and pay plan of the class to which the employee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Pay increase eligibility periods. </w:t>
      </w:r>
      <w:r>
        <w:rPr>
          <w:rFonts w:ascii="Times New Roman" w:hAnsi="Times New Roman"/>
          <w:b w:val="false"/>
          <w:i w:val="false"/>
          <w:color w:val="000000"/>
          <w:sz w:val="22"/>
        </w:rPr>
        <w:t>The minimum pay increase eligibility period for employees shall be 52 weeks, except that it shall be 26 weeks for new hires and employees who receive an increase in base pay as a result of a promotion, reclassification or pay grade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Noncreditable periods. </w:t>
      </w:r>
      <w:r>
        <w:rPr>
          <w:rFonts w:ascii="Times New Roman" w:hAnsi="Times New Roman"/>
          <w:b w:val="false"/>
          <w:i w:val="false"/>
          <w:color w:val="000000"/>
          <w:sz w:val="22"/>
        </w:rPr>
        <w:t>Except for FMLA, workers’ compensation, educational, and military leave, periods of leave without pay exceeding 30 calendar days shall not count toward an employee’s pay increase eligibility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Reduction of time periods. </w:t>
      </w:r>
      <w:r>
        <w:rPr>
          <w:rFonts w:ascii="Times New Roman" w:hAnsi="Times New Roman"/>
          <w:b w:val="false"/>
          <w:i w:val="false"/>
          <w:color w:val="000000"/>
          <w:sz w:val="22"/>
        </w:rPr>
        <w:t>The director may authorize a reduction in the pay increase eligibility periods for a position where there is an unusual recruitment and retention circumstance.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53.7(2)</w:t>
      </w:r>
      <w:r>
        <w:rPr>
          <w:rFonts w:ascii="Times New Roman" w:hAnsi="Times New Roman"/>
          <w:b w:val="false"/>
          <w:i w:val="false"/>
          <w:color w:val="000000"/>
          <w:sz w:val="22"/>
        </w:rPr>
        <w:t> </w:t>
      </w:r>
      <w:r>
        <w:rPr>
          <w:rFonts w:ascii="Times New Roman" w:hAnsi="Times New Roman"/>
          <w:b w:val="false"/>
          <w:i/>
          <w:color w:val="000000"/>
          <w:sz w:val="22"/>
        </w:rPr>
        <w:t xml:space="preserve"> Employee pay increases. </w:t>
      </w:r>
      <w:r>
        <w:rPr>
          <w:rFonts w:ascii="Times New Roman" w:hAnsi="Times New Roman"/>
          <w:b w:val="false"/>
          <w:i w:val="false"/>
          <w:color w:val="000000"/>
          <w:sz w:val="22"/>
        </w:rPr>
        <w:t xml:space="preserve">An eligible employee may be given any amount of within grade pay increase up to the maximum pay rate for the employee’s class. The pay increase shall be at the beginning of the pay period following completion of the employee’s prescribed minimum pay increase eligibility period and shall not be retroactive, except as provided for in subrule </w:t>
      </w:r>
      <w:hyperlink r:id="rId37">
        <w:r>
          <w:rPr>
            <w:rStyle w:val="Hyperlink"/>
            <w:rFonts w:ascii="Times New Roman" w:hAnsi="Times New Roman"/>
            <w:b w:val="false"/>
            <w:i w:val="false"/>
            <w:color w:val="000000"/>
            <w:sz w:val="22"/>
          </w:rPr>
          <w:t>53.4(7)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w:t>
      </w:r>
      <w:r>
        <w:rPr>
          <w:rFonts w:ascii="Times New Roman" w:hAnsi="Times New Roman"/>
          <w:b w:val="false"/>
          <w:i w:val="false"/>
          <w:color w:val="000000"/>
          <w:sz w:val="22"/>
        </w:rPr>
        <w:t>Within grade pay increases shall be based on performance, are not automatic, and may be delayed beyond completion of the employee’s minimum pay increase eligibility period. The amount of a within grade pay increase shall be determined by policies established by the appointing authority. To be eligible, a within grade pay increase must be accompanied by a current performance evaluation on which the employee received an overall rating of at least “meets job expectations.” Time spent on FMLA, workers’ compensation, educational, or military leave shall be considered to “meet job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Lump sum. </w:t>
      </w:r>
      <w:r>
        <w:rPr>
          <w:rFonts w:ascii="Times New Roman" w:hAnsi="Times New Roman"/>
          <w:b w:val="false"/>
          <w:i w:val="false"/>
          <w:color w:val="000000"/>
          <w:sz w:val="22"/>
        </w:rPr>
        <w:t>When budgetary conditions make it infeasible to grant within grade pay increases, an appointing authority may instead grant a lump sum increase. The increase shall not be added to the employee’s base pay and shall be allowed only once in a fiscal year. Lump sum pay increases must be requested in writing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7/19/17</w:t>
      </w:r>
      <w:r>
        <w:rPr>
          <w:rFonts w:ascii="Times New Roman" w:hAnsi="Times New Roman"/>
          <w:b w:val="false"/>
          <w:i w:val="false"/>
          <w:color w:val="000000"/>
          <w:sz w:val="22"/>
        </w:rPr>
        <w:t>, effective 7/1/17.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53.7(4)</w:t>
      </w:r>
      <w:r>
        <w:rPr>
          <w:rFonts w:ascii="Times New Roman" w:hAnsi="Times New Roman"/>
          <w:b w:val="false"/>
          <w:i w:val="false"/>
          <w:color w:val="000000"/>
          <w:sz w:val="22"/>
        </w:rPr>
        <w:t> </w:t>
      </w:r>
      <w:r>
        <w:rPr>
          <w:rFonts w:ascii="Times New Roman" w:hAnsi="Times New Roman"/>
          <w:b w:val="false"/>
          <w:i/>
          <w:color w:val="000000"/>
          <w:sz w:val="22"/>
        </w:rPr>
        <w:t xml:space="preserve">Certified teachers. </w:t>
      </w:r>
      <w:r>
        <w:rPr>
          <w:rFonts w:ascii="Times New Roman" w:hAnsi="Times New Roman"/>
          <w:b w:val="false"/>
          <w:i w:val="false"/>
          <w:color w:val="000000"/>
          <w:sz w:val="22"/>
        </w:rPr>
        <w:t>Within grade pay increases for employees who are required to possess a current valid teaching certificate with appropriate endorsements and approvals by the Iowa department of education shall be based on performance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53.7(5)</w:t>
      </w:r>
      <w:r>
        <w:rPr>
          <w:rFonts w:ascii="Times New Roman" w:hAnsi="Times New Roman"/>
          <w:b w:val="false"/>
          <w:i w:val="false"/>
          <w:color w:val="000000"/>
          <w:sz w:val="22"/>
        </w:rPr>
        <w:t> </w:t>
      </w:r>
      <w:r>
        <w:rPr>
          <w:rFonts w:ascii="Times New Roman" w:hAnsi="Times New Roman"/>
          <w:b w:val="false"/>
          <w:i/>
          <w:color w:val="000000"/>
          <w:sz w:val="22"/>
        </w:rPr>
        <w:t xml:space="preserve">Eligibility dates. </w:t>
      </w:r>
      <w:r>
        <w:rPr>
          <w:rFonts w:ascii="Times New Roman" w:hAnsi="Times New Roman"/>
          <w:b w:val="false"/>
          <w:i w:val="false"/>
          <w:color w:val="000000"/>
          <w:sz w:val="22"/>
        </w:rPr>
        <w:t>An employee’s pay increase eligibility date shall be set at the time of hire, and if the employee starts on the first working day of the pay period, it shall be the first day of the pay period following completion of the employee’s minimum pay increase eligibility period. Otherwise, it shall be the first day of the pay period following the date the employee starts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new eligibility date shall be set when an employee receives an increase in base pay, except when transferring in the same pay grade to a different pay plan. Such date will be set at 52 weeks, except for new hires and employees who receive a pay increase as a result of a promotion, reclassification or pay grade change. The date for such employees shall be 26 weeks following the effective date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Bumping. </w:t>
      </w:r>
      <w:r>
        <w:rPr>
          <w:rFonts w:ascii="Times New Roman" w:hAnsi="Times New Roman"/>
          <w:b w:val="false"/>
          <w:i w:val="false"/>
          <w:color w:val="000000"/>
          <w:sz w:val="22"/>
        </w:rPr>
        <w:t>An employee who is recalled to a class from which the employee was bumped shall have a new eligibility date set if the pay increase eligibility period of the class to which recalled is less than the employee’s current pay increase eligibility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adjustment for FMLA, workers’ compensation, educational, or military leave. </w:t>
      </w:r>
      <w:r>
        <w:rPr>
          <w:rFonts w:ascii="Times New Roman" w:hAnsi="Times New Roman"/>
          <w:b w:val="false"/>
          <w:i w:val="false"/>
          <w:color w:val="000000"/>
          <w:sz w:val="22"/>
        </w:rPr>
        <w:t>An employee who returns to work from FMLA, workers’ compensation, educational, or military leave shall have the employee’s eligibility date restored without adjusting for the period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Adjustments for returning from leave or recall. </w:t>
      </w:r>
      <w:r>
        <w:rPr>
          <w:rFonts w:ascii="Times New Roman" w:hAnsi="Times New Roman"/>
          <w:b w:val="false"/>
          <w:i w:val="false"/>
          <w:color w:val="000000"/>
          <w:sz w:val="22"/>
        </w:rPr>
        <w:t>An employee who returns to work from a recall list or from an authorized leave of absence shall have the employee’s eligibility date restored, but adjusted for the period of absence that exceeds 30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changes. </w:t>
      </w:r>
      <w:r>
        <w:rPr>
          <w:rFonts w:ascii="Times New Roman" w:hAnsi="Times New Roman"/>
          <w:b w:val="false"/>
          <w:i w:val="false"/>
          <w:color w:val="000000"/>
          <w:sz w:val="22"/>
        </w:rPr>
        <w:t>The director may change eligibility dates when economic or other pay adjustments are made to the classification plan or pay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53.7(6)</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If within grade pay increases are suspended by an Act of the general assembly, the rules that provide for such increases shall also be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11—53.8</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assignments. </w:t>
      </w:r>
      <w:r>
        <w:rPr>
          <w:rFonts w:ascii="Times New Roman" w:hAnsi="Times New Roman"/>
          <w:b w:val="false"/>
          <w:i w:val="false"/>
          <w:color w:val="000000"/>
          <w:sz w:val="22"/>
        </w:rPr>
        <w:t>Requests to provide employees with additional pay for temporary assignments shall first be submitted in writing to the director for review and indicate the reason and period of time required, if applicable. This pay may exceed the maximum for the employee’s class. If temporary assignments are terminated or the duties removed, the additional pay shall also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53.8(1)</w:t>
      </w:r>
      <w:r>
        <w:rPr>
          <w:rFonts w:ascii="Times New Roman" w:hAnsi="Times New Roman"/>
          <w:b w:val="false"/>
          <w:i w:val="false"/>
          <w:color w:val="000000"/>
          <w:sz w:val="22"/>
        </w:rPr>
        <w:t> </w:t>
      </w:r>
      <w:r>
        <w:rPr>
          <w:rFonts w:ascii="Times New Roman" w:hAnsi="Times New Roman"/>
          <w:b w:val="false"/>
          <w:i/>
          <w:color w:val="000000"/>
          <w:sz w:val="22"/>
        </w:rPr>
        <w:t xml:space="preserve">Leadworker. </w:t>
      </w:r>
      <w:r>
        <w:rPr>
          <w:rFonts w:ascii="Times New Roman" w:hAnsi="Times New Roman"/>
          <w:b w:val="false"/>
          <w:i w:val="false"/>
          <w:color w:val="000000"/>
          <w:sz w:val="22"/>
        </w:rPr>
        <w:t xml:space="preserve">An employee who is temporarily assigned lead work duties, as defined in rule </w:t>
      </w:r>
      <w:hyperlink r:id="rId38">
        <w:r>
          <w:rPr>
            <w:rStyle w:val="Hyperlink"/>
            <w:rFonts w:ascii="Times New Roman" w:hAnsi="Times New Roman"/>
            <w:b w:val="false"/>
            <w:i w:val="false"/>
            <w:color w:val="000000"/>
            <w:sz w:val="22"/>
          </w:rPr>
          <w:t>11—50.1(8A)</w:t>
        </w:r>
      </w:hyperlink>
      <w:r>
        <w:rPr>
          <w:rFonts w:ascii="Times New Roman" w:hAnsi="Times New Roman"/>
          <w:b w:val="false"/>
          <w:i w:val="false"/>
          <w:color w:val="000000"/>
          <w:sz w:val="22"/>
        </w:rPr>
        <w:t>, may be given additional pay of up to 15 percent of the employee’s base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53.8(2)</w:t>
      </w:r>
      <w:r>
        <w:rPr>
          <w:rFonts w:ascii="Times New Roman" w:hAnsi="Times New Roman"/>
          <w:b w:val="false"/>
          <w:i w:val="false"/>
          <w:color w:val="000000"/>
          <w:sz w:val="22"/>
        </w:rPr>
        <w:t> </w:t>
      </w:r>
      <w:r>
        <w:rPr>
          <w:rFonts w:ascii="Times New Roman" w:hAnsi="Times New Roman"/>
          <w:b w:val="false"/>
          <w:i/>
          <w:color w:val="000000"/>
          <w:sz w:val="22"/>
        </w:rPr>
        <w:t xml:space="preserve">Special duty. </w:t>
      </w:r>
      <w:r>
        <w:rPr>
          <w:rFonts w:ascii="Times New Roman" w:hAnsi="Times New Roman"/>
          <w:b w:val="false"/>
          <w:i w:val="false"/>
          <w:color w:val="000000"/>
          <w:sz w:val="22"/>
        </w:rPr>
        <w:t xml:space="preserve">An employee who is temporarily assigned to a vacant position in a class with a higher pay grade may be given additional pay equal to that provided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subrule </w:t>
      </w:r>
      <w:hyperlink r:id="rId39">
        <w:r>
          <w:rPr>
            <w:rStyle w:val="Hyperlink"/>
            <w:rFonts w:ascii="Times New Roman" w:hAnsi="Times New Roman"/>
            <w:b w:val="false"/>
            <w:i w:val="false"/>
            <w:color w:val="000000"/>
            <w:sz w:val="22"/>
          </w:rPr>
          <w:t>53.6(6)</w:t>
        </w:r>
      </w:hyperlink>
      <w:r>
        <w:rPr>
          <w:rFonts w:ascii="Times New Roman" w:hAnsi="Times New Roman"/>
          <w:b w:val="false"/>
          <w:i w:val="false"/>
          <w:color w:val="000000"/>
          <w:sz w:val="22"/>
        </w:rPr>
        <w:t>,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53.8(3)</w:t>
      </w:r>
      <w:r>
        <w:rPr>
          <w:rFonts w:ascii="Times New Roman" w:hAnsi="Times New Roman"/>
          <w:b w:val="false"/>
          <w:i w:val="false"/>
          <w:color w:val="000000"/>
          <w:sz w:val="22"/>
        </w:rPr>
        <w:t> </w:t>
      </w:r>
      <w:r>
        <w:rPr>
          <w:rFonts w:ascii="Times New Roman" w:hAnsi="Times New Roman"/>
          <w:b w:val="false"/>
          <w:i/>
          <w:color w:val="000000"/>
          <w:sz w:val="22"/>
        </w:rPr>
        <w:t xml:space="preserve">Extraordinary duty. </w:t>
      </w:r>
      <w:r>
        <w:rPr>
          <w:rFonts w:ascii="Times New Roman" w:hAnsi="Times New Roman"/>
          <w:b w:val="false"/>
          <w:i w:val="false"/>
          <w:color w:val="000000"/>
          <w:sz w:val="22"/>
        </w:rPr>
        <w:t>An employee or class of employees who are temporarily assigned higher level duties, including supervisory duties, may be given additional pay. The amount of pay must be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53.8(4)</w:t>
      </w:r>
      <w:r>
        <w:rPr>
          <w:rFonts w:ascii="Times New Roman" w:hAnsi="Times New Roman"/>
          <w:b w:val="false"/>
          <w:i w:val="false"/>
          <w:color w:val="000000"/>
          <w:sz w:val="22"/>
        </w:rPr>
        <w:t> </w:t>
      </w:r>
      <w:r>
        <w:rPr>
          <w:rFonts w:ascii="Times New Roman" w:hAnsi="Times New Roman"/>
          <w:b w:val="false"/>
          <w:i/>
          <w:color w:val="000000"/>
          <w:sz w:val="22"/>
        </w:rPr>
        <w:t xml:space="preserve">Effect on within grade increases. </w:t>
      </w:r>
      <w:r>
        <w:rPr>
          <w:rFonts w:ascii="Times New Roman" w:hAnsi="Times New Roman"/>
          <w:b w:val="false"/>
          <w:i w:val="false"/>
          <w:color w:val="000000"/>
          <w:sz w:val="22"/>
        </w:rPr>
        <w:t>Temporary assignments shall not affect an employee’s eligibility for within grade pay increases, and the additional pay amount shall be recalculated whenever a within grade pay increase is granted. The class to which the employee is temporarily assigned shall be controlling for purposes of overtime, shift differential, standby and call back pay.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11—53.9</w:t>
      </w:r>
      <w:r>
        <w:rPr>
          <w:rFonts w:ascii="Times New Roman" w:hAnsi="Times New Roman"/>
          <w:b/>
          <w:i w:val="false"/>
          <w:color w:val="000000"/>
          <w:sz w:val="22"/>
        </w:rPr>
        <w:t xml:space="preserve">(8A) </w:t>
      </w:r>
      <w:r>
        <w:rPr>
          <w:rFonts w:ascii="Times New Roman" w:hAnsi="Times New Roman"/>
          <w:b/>
          <w:i w:val="false"/>
          <w:color w:val="000000"/>
          <w:sz w:val="22"/>
        </w:rPr>
        <w:t xml:space="preserve">Special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53.9(1)</w:t>
      </w:r>
      <w:r>
        <w:rPr>
          <w:rFonts w:ascii="Times New Roman" w:hAnsi="Times New Roman"/>
          <w:b w:val="false"/>
          <w:i w:val="false"/>
          <w:color w:val="000000"/>
          <w:sz w:val="22"/>
        </w:rPr>
        <w:t> </w:t>
      </w:r>
      <w:r>
        <w:rPr>
          <w:rFonts w:ascii="Times New Roman" w:hAnsi="Times New Roman"/>
          <w:b w:val="false"/>
          <w:i/>
          <w:color w:val="000000"/>
          <w:sz w:val="22"/>
        </w:rPr>
        <w:t xml:space="preserve">Shift differential. </w:t>
      </w:r>
      <w:r>
        <w:rPr>
          <w:rFonts w:ascii="Times New Roman" w:hAnsi="Times New Roman"/>
          <w:b w:val="false"/>
          <w:i w:val="false"/>
          <w:color w:val="000000"/>
          <w:sz w:val="22"/>
        </w:rPr>
        <w:t>If an overtime eligible employee works for an appointing authority whose operations require other than a day shift, the employee shall receive a shift differential if scheduled to work four or more hours between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two or more consecutive workweeks, or is regularly assigned to rotate shifts. The amount of the shift differential shall be determined by the director and paid in cents per hour. There shall be one rate for the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midnight time period and another higher rate for the midnight to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time period. Employees who work in both time periods shall be paid at the rate applicable to the period in which the majority of their hours are worked. Employees who work equal amounts in both time periods shall be paid at the higher rate. The differential shall be in addition to the employee’s regular base pay and shall be paid for all hours in pay status.</w:t>
      </w:r>
    </w:p>
    <w:p>
      <w:pPr>
        <w:spacing w:before="0" w:after="0"/>
        <w:ind w:left="120"/>
        <w:jc w:val="both"/>
      </w:pPr>
      <w:r>
        <w:rPr>
          <w:rFonts w:ascii="Times New Roman" w:hAnsi="Times New Roman"/>
          <w:b w:val="false"/>
          <w:i w:val="false"/>
          <w:color w:val="000000"/>
          <w:sz w:val="22"/>
        </w:rPr>
        <w:t xml:space="preserve">Employees in overtime exempt classes may receive a shift differential if a request is first submitted in writing and approved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53.9(2)</w:t>
      </w:r>
      <w:r>
        <w:rPr>
          <w:rFonts w:ascii="Times New Roman" w:hAnsi="Times New Roman"/>
          <w:b w:val="false"/>
          <w:i w:val="false"/>
          <w:color w:val="000000"/>
          <w:sz w:val="22"/>
        </w:rPr>
        <w:t> </w:t>
      </w:r>
      <w:r>
        <w:rPr>
          <w:rFonts w:ascii="Times New Roman" w:hAnsi="Times New Roman"/>
          <w:b w:val="false"/>
          <w:i/>
          <w:color w:val="000000"/>
          <w:sz w:val="22"/>
        </w:rPr>
        <w:t xml:space="preserve">Call back. </w:t>
      </w:r>
      <w:r>
        <w:rPr>
          <w:rFonts w:ascii="Times New Roman" w:hAnsi="Times New Roman"/>
          <w:b w:val="false"/>
          <w:i w:val="false"/>
          <w:color w:val="000000"/>
          <w:sz w:val="22"/>
        </w:rPr>
        <w:t>If an overtime eligible employee is directed to report to work during unscheduled hours that are not contiguous to the beginning or the end of the employee’s assigned shift, the employee shall be paid a minimum of three hours. These hours shall not count as standby hours if the employee is in standby status. Employees in overtime exempt classes may be eligible for call back pay, if a request is first submitted in writing and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53.9(3)</w:t>
      </w:r>
      <w:r>
        <w:rPr>
          <w:rFonts w:ascii="Times New Roman" w:hAnsi="Times New Roman"/>
          <w:b w:val="false"/>
          <w:i w:val="false"/>
          <w:color w:val="000000"/>
          <w:sz w:val="22"/>
        </w:rPr>
        <w:t> </w:t>
      </w:r>
      <w:r>
        <w:rPr>
          <w:rFonts w:ascii="Times New Roman" w:hAnsi="Times New Roman"/>
          <w:b w:val="false"/>
          <w:i/>
          <w:color w:val="000000"/>
          <w:sz w:val="22"/>
        </w:rPr>
        <w:t xml:space="preserve">Standby. </w:t>
      </w:r>
      <w:r>
        <w:rPr>
          <w:rFonts w:ascii="Times New Roman" w:hAnsi="Times New Roman"/>
          <w:b w:val="false"/>
          <w:i w:val="false"/>
          <w:color w:val="000000"/>
          <w:sz w:val="22"/>
        </w:rPr>
        <w:t xml:space="preserve">If an employee in an overtime eligible class is directed to be on standby after the end of the employee’s shift, the employee shall be paid 10 percent of the employee’s hourly pay rate for each hour in a standby status. If required to be on standby, an employee shall receive at least one hour of standby pay. Time spent working while on standby shall not count in determining standby pay, nor shall standby hours count for purposes of determining overtime. Employees in overtime exempt classes may be eligible for standby pay if a request is first submitted in writing and approved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53.9(4)</w:t>
      </w:r>
      <w:r>
        <w:rPr>
          <w:rFonts w:ascii="Times New Roman" w:hAnsi="Times New Roman"/>
          <w:b w:val="false"/>
          <w:i w:val="false"/>
          <w:color w:val="000000"/>
          <w:sz w:val="22"/>
        </w:rPr>
        <w:t> </w:t>
      </w:r>
      <w:r>
        <w:rPr>
          <w:rFonts w:ascii="Times New Roman" w:hAnsi="Times New Roman"/>
          <w:b w:val="false"/>
          <w:i/>
          <w:color w:val="000000"/>
          <w:sz w:val="22"/>
        </w:rPr>
        <w:t xml:space="preserve">Discretionary payments. </w:t>
      </w:r>
      <w:r>
        <w:rPr>
          <w:rFonts w:ascii="Times New Roman" w:hAnsi="Times New Roman"/>
          <w:b w:val="false"/>
          <w:i w:val="false"/>
          <w:color w:val="000000"/>
          <w:sz w:val="22"/>
        </w:rPr>
        <w:t>A lump sum payment for exceptional job performance may be given to an employee. A written explanation setting forth the reasons shall first be submitted to the director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53.9(5)</w:t>
      </w:r>
      <w:r>
        <w:rPr>
          <w:rFonts w:ascii="Times New Roman" w:hAnsi="Times New Roman"/>
          <w:b w:val="false"/>
          <w:i w:val="false"/>
          <w:color w:val="000000"/>
          <w:sz w:val="22"/>
        </w:rPr>
        <w:t> </w:t>
      </w:r>
      <w:r>
        <w:rPr>
          <w:rFonts w:ascii="Times New Roman" w:hAnsi="Times New Roman"/>
          <w:b w:val="false"/>
          <w:i/>
          <w:color w:val="000000"/>
          <w:sz w:val="22"/>
        </w:rPr>
        <w:t xml:space="preserve">Recruitment or retention payments. </w:t>
      </w:r>
      <w:r>
        <w:rPr>
          <w:rFonts w:ascii="Times New Roman" w:hAnsi="Times New Roman"/>
          <w:b w:val="false"/>
          <w:i w:val="false"/>
          <w:color w:val="000000"/>
          <w:sz w:val="22"/>
        </w:rPr>
        <w:t>A payment to a job applicant or an employee may be made for recruitment or retention reasons. A written explanation shall first be submitted in writing to the director.</w:t>
      </w:r>
    </w:p>
    <w:p>
      <w:pPr>
        <w:spacing w:before="0" w:after="0"/>
        <w:ind w:left="120"/>
        <w:jc w:val="both"/>
      </w:pPr>
      <w:r>
        <w:rPr>
          <w:rFonts w:ascii="Times New Roman" w:hAnsi="Times New Roman"/>
          <w:b w:val="false"/>
          <w:i w:val="false"/>
          <w:color w:val="000000"/>
          <w:sz w:val="22"/>
        </w:rPr>
        <w:t>As a condition of receiving recruitment or retention pay, the recipient must sign an agreement to continue employment with the appointing authority for a period of time following receipt of the payment that is deemed by the appointing authority to be commensurate with the amount of the payment. If the recipient is terminated for cause or voluntarily leaves state employment, the recipient will be required to repay the appointing authority for the proportionate amount of the payment for the time remaining, and it will be recouped from the final paycheck. When the recipient changes employment to another state agency, then a repayment schedule must be approved by the director. Recoupment will be coordinated with the department of administrative services, state accounting enterprise, to ensure a proper reporting of taxes.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53.9(6)</w:t>
      </w:r>
      <w:r>
        <w:rPr>
          <w:rFonts w:ascii="Times New Roman" w:hAnsi="Times New Roman"/>
          <w:b w:val="false"/>
          <w:i w:val="false"/>
          <w:color w:val="000000"/>
          <w:sz w:val="22"/>
        </w:rPr>
        <w:t> </w:t>
      </w:r>
      <w:r>
        <w:rPr>
          <w:rFonts w:ascii="Times New Roman" w:hAnsi="Times New Roman"/>
          <w:b w:val="false"/>
          <w:i/>
          <w:color w:val="000000"/>
          <w:sz w:val="22"/>
        </w:rPr>
        <w:t xml:space="preserve">Pay for increased credentials. </w:t>
      </w:r>
      <w:r>
        <w:rPr>
          <w:rFonts w:ascii="Times New Roman" w:hAnsi="Times New Roman"/>
          <w:b w:val="false"/>
          <w:i w:val="false"/>
          <w:color w:val="000000"/>
          <w:sz w:val="22"/>
        </w:rPr>
        <w:t xml:space="preserve">An employee who successfully completes a course of study, a certificate program, or any educational program directly related to the employee’s current employment is eligible to receive an increase in base pay at the discretion of the appointing authority. Granting an increase pursuant to this subrule will not affect an employee’s pay increase eligibility date and may not exceed the maximum pay for the assigned job classification pursuant to subrule </w:t>
      </w:r>
      <w:hyperlink r:id="rId40">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11—53.10</w:t>
      </w:r>
      <w:r>
        <w:rPr>
          <w:rFonts w:ascii="Times New Roman" w:hAnsi="Times New Roman"/>
          <w:b/>
          <w:i w:val="false"/>
          <w:color w:val="000000"/>
          <w:sz w:val="22"/>
        </w:rPr>
        <w:t xml:space="preserve">(8A) </w:t>
      </w:r>
      <w:r>
        <w:rPr>
          <w:rFonts w:ascii="Times New Roman" w:hAnsi="Times New Roman"/>
          <w:b/>
          <w:i w:val="false"/>
          <w:color w:val="000000"/>
          <w:sz w:val="22"/>
        </w:rPr>
        <w:t xml:space="preserve">Phased retirement.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1568C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8/6/14</w:t>
      </w:r>
      <w:r>
        <w:rPr>
          <w:rFonts w:ascii="Times New Roman" w:hAnsi="Times New Roman"/>
          <w:b w:val="false"/>
          <w:i w:val="false"/>
          <w:color w:val="000000"/>
          <w:sz w:val="22"/>
        </w:rPr>
        <w:t>, effective 9/10/14.</w:t>
      </w:r>
    </w:p>
    <w:p>
      <w:pPr>
        <w:spacing w:before="0" w:after="0"/>
        <w:ind w:left="120"/>
        <w:jc w:val="both"/>
      </w:pPr>
      <w:r>
        <w:rPr>
          <w:rFonts w:ascii="Times New Roman" w:hAnsi="Times New Roman"/>
          <w:b/>
          <w:i w:val="false"/>
          <w:color w:val="000000"/>
          <w:sz w:val="22"/>
        </w:rPr>
        <w:t>11—53.11</w:t>
      </w:r>
      <w:r>
        <w:rPr>
          <w:rFonts w:ascii="Times New Roman" w:hAnsi="Times New Roman"/>
          <w:b/>
          <w:i w:val="false"/>
          <w:color w:val="000000"/>
          <w:sz w:val="22"/>
        </w:rPr>
        <w:t xml:space="preserve">(8A) </w:t>
      </w:r>
      <w:r>
        <w:rPr>
          <w:rFonts w:ascii="Times New Roman" w:hAnsi="Times New Roman"/>
          <w:b/>
          <w:i w:val="false"/>
          <w:color w:val="000000"/>
          <w:sz w:val="22"/>
        </w:rPr>
        <w:t xml:space="preserve">Overtime.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Job classes shall be designated by the director as overtime eligible or overtime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53.11(2)</w:t>
      </w:r>
      <w:r>
        <w:rPr>
          <w:rFonts w:ascii="Times New Roman" w:hAnsi="Times New Roman"/>
          <w:b w:val="false"/>
          <w:i w:val="false"/>
          <w:color w:val="000000"/>
          <w:sz w:val="22"/>
        </w:rPr>
        <w:t> </w:t>
      </w:r>
      <w:r>
        <w:rPr>
          <w:rFonts w:ascii="Times New Roman" w:hAnsi="Times New Roman"/>
          <w:b w:val="false"/>
          <w:i/>
          <w:color w:val="000000"/>
          <w:sz w:val="22"/>
        </w:rPr>
        <w:t xml:space="preserve">Eligible job classes. </w:t>
      </w:r>
      <w:r>
        <w:rPr>
          <w:rFonts w:ascii="Times New Roman" w:hAnsi="Times New Roman"/>
          <w:b w:val="false"/>
          <w:i w:val="false"/>
          <w:color w:val="000000"/>
          <w:sz w:val="22"/>
        </w:rPr>
        <w:t>An employee in a job class designated as overtime eligible shall be paid at a premium rate (one and one-half hours) in accordance with the federal Fair Labor Standards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53.11(3)</w:t>
      </w:r>
      <w:r>
        <w:rPr>
          <w:rFonts w:ascii="Times New Roman" w:hAnsi="Times New Roman"/>
          <w:b w:val="false"/>
          <w:i w:val="false"/>
          <w:color w:val="000000"/>
          <w:sz w:val="22"/>
        </w:rPr>
        <w:t> </w:t>
      </w:r>
      <w:r>
        <w:rPr>
          <w:rFonts w:ascii="Times New Roman" w:hAnsi="Times New Roman"/>
          <w:b w:val="false"/>
          <w:i/>
          <w:color w:val="000000"/>
          <w:sz w:val="22"/>
        </w:rPr>
        <w:t xml:space="preserve">Exempt job classes. </w:t>
      </w:r>
      <w:r>
        <w:rPr>
          <w:rFonts w:ascii="Times New Roman" w:hAnsi="Times New Roman"/>
          <w:b w:val="false"/>
          <w:i w:val="false"/>
          <w:color w:val="000000"/>
          <w:sz w:val="22"/>
        </w:rPr>
        <w:t>An employee in an overtime exempt job class shall not be paid for hours worked or in pay status over 40 hours in a workweek.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53.11(4)</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Payment of overtime for employees shall be in cash or compensatory time. The decision shall rest with the employee, except that the appointing authority may require overtime to be paid in cash. Employees may elect compensatory time for call back, standby, holiday hours and for working on a holiday.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53.11(5)</w:t>
      </w:r>
      <w:r>
        <w:rPr>
          <w:rFonts w:ascii="Times New Roman" w:hAnsi="Times New Roman"/>
          <w:b w:val="false"/>
          <w:i w:val="false"/>
          <w:color w:val="000000"/>
          <w:sz w:val="22"/>
        </w:rPr>
        <w:t> </w:t>
      </w:r>
      <w:r>
        <w:rPr>
          <w:rFonts w:ascii="Times New Roman" w:hAnsi="Times New Roman"/>
          <w:b w:val="false"/>
          <w:i/>
          <w:color w:val="000000"/>
          <w:sz w:val="22"/>
        </w:rPr>
        <w:t xml:space="preserve">Compensatory time. </w:t>
      </w:r>
      <w:r>
        <w:rPr>
          <w:rFonts w:ascii="Times New Roman" w:hAnsi="Times New Roman"/>
          <w:b w:val="false"/>
          <w:i w:val="false"/>
          <w:color w:val="000000"/>
          <w:sz w:val="22"/>
        </w:rPr>
        <w:t xml:space="preserve">An overtime eligible employee may accrue up to 80 hours of compensatory time before it must be paid off. Compensatory time may be paid off at any time, but it shall be paid off if the employee separates, transfers to a different agency, or moves to a class with a different overtime eligibility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53.11(6)</w:t>
      </w:r>
      <w:r>
        <w:rPr>
          <w:rFonts w:ascii="Times New Roman" w:hAnsi="Times New Roman"/>
          <w:b w:val="false"/>
          <w:i w:val="false"/>
          <w:color w:val="000000"/>
          <w:sz w:val="22"/>
        </w:rPr>
        <w:t> </w:t>
      </w:r>
      <w:r>
        <w:rPr>
          <w:rFonts w:ascii="Times New Roman" w:hAnsi="Times New Roman"/>
          <w:b w:val="false"/>
          <w:i/>
          <w:color w:val="000000"/>
          <w:sz w:val="22"/>
        </w:rPr>
        <w:t xml:space="preserve">Holiday hours. </w:t>
      </w:r>
      <w:r>
        <w:rPr>
          <w:rFonts w:ascii="Times New Roman" w:hAnsi="Times New Roman"/>
          <w:b w:val="false"/>
          <w:i w:val="false"/>
          <w:color w:val="000000"/>
          <w:sz w:val="22"/>
        </w:rPr>
        <w:t>Holiday hours that have already been paid at a premium rate shall not be counted in calculating overtime.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11—53.12</w:t>
      </w:r>
      <w:r>
        <w:rPr>
          <w:rFonts w:ascii="Times New Roman" w:hAnsi="Times New Roman"/>
          <w:b/>
          <w:i w:val="false"/>
          <w:color w:val="000000"/>
          <w:sz w:val="22"/>
        </w:rPr>
        <w:t xml:space="preserve">(8A) </w:t>
      </w:r>
      <w:r>
        <w:rPr>
          <w:rFonts w:ascii="Times New Roman" w:hAnsi="Times New Roman"/>
          <w:b/>
          <w:i w:val="false"/>
          <w:color w:val="000000"/>
          <w:sz w:val="22"/>
        </w:rPr>
        <w:t xml:space="preserve">Years of service incentive program.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8/11/10</w:t>
      </w:r>
      <w:r>
        <w:rPr>
          <w:rFonts w:ascii="Times New Roman" w:hAnsi="Times New Roman"/>
          <w:b w:val="false"/>
          <w:i w:val="false"/>
          <w:color w:val="000000"/>
          <w:sz w:val="22"/>
        </w:rPr>
        <w:t>, effective 9/15/10.</w:t>
      </w:r>
    </w:p>
    <w:p>
      <w:pPr>
        <w:spacing w:before="210" w:after="0"/>
        <w:ind w:left="120"/>
        <w:jc w:val="both"/>
      </w:pPr>
      <w:r>
        <w:rPr>
          <w:rFonts w:ascii="Times New Roman" w:hAnsi="Times New Roman"/>
          <w:b/>
          <w:i w:val="false"/>
          <w:color w:val="000000"/>
          <w:sz w:val="22"/>
        </w:rPr>
        <w:t>11—53.13</w:t>
      </w:r>
      <w:r>
        <w:rPr>
          <w:rFonts w:ascii="Times New Roman" w:hAnsi="Times New Roman"/>
          <w:b/>
          <w:i w:val="false"/>
          <w:color w:val="000000"/>
          <w:sz w:val="22"/>
        </w:rPr>
        <w:t xml:space="preserve">(8A)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Appeal of the application of these rules must be filed as a grievance pursuant to </w:t>
      </w:r>
      <w:hyperlink r:id="rId41">
        <w:r>
          <w:rPr>
            <w:rStyle w:val="Hyperlink"/>
            <w:rFonts w:ascii="Times New Roman" w:hAnsi="Times New Roman"/>
            <w:b w:val="false"/>
            <w:i w:val="false"/>
            <w:color w:val="000000"/>
            <w:sz w:val="22"/>
          </w:rPr>
          <w:t>11—61.1(8A)</w:t>
        </w:r>
      </w:hyperlink>
      <w:r>
        <w:rPr>
          <w:rFonts w:ascii="Times New Roman" w:hAnsi="Times New Roman"/>
          <w:b w:val="false"/>
          <w:i w:val="false"/>
          <w:color w:val="000000"/>
          <w:sz w:val="22"/>
        </w:rPr>
        <w:t xml:space="preserve">. The appeal procedures for grievance decisions as addressed in </w:t>
      </w:r>
      <w:hyperlink r:id="rId42">
        <w:r>
          <w:rPr>
            <w:rStyle w:val="Hyperlink"/>
            <w:rFonts w:ascii="Times New Roman" w:hAnsi="Times New Roman"/>
            <w:b w:val="false"/>
            <w:i w:val="false"/>
            <w:color w:val="000000"/>
            <w:sz w:val="22"/>
          </w:rPr>
          <w:t>11—61.2(8A)</w:t>
        </w:r>
      </w:hyperlink>
      <w:r>
        <w:rPr>
          <w:rFonts w:ascii="Times New Roman" w:hAnsi="Times New Roman"/>
          <w:b w:val="false"/>
          <w:i w:val="false"/>
          <w:color w:val="000000"/>
          <w:sz w:val="22"/>
        </w:rPr>
        <w:t xml:space="preserve"> must be exhausted prior to a petition for judicial review.</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3">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subchapter IV.</w:t>
      </w:r>
    </w:p>
    <w:p>
      <w:pPr>
        <w:spacing w:before="0" w:after="0"/>
        <w:ind w:left="120"/>
        <w:jc w:val="center"/>
      </w:pPr>
      <w:r>
        <w:rPr>
          <w:rFonts w:ascii="Times New Roman" w:hAnsi="Times New Roman"/>
          <w:b w:val="false"/>
          <w:i w:val="false"/>
          <w:color w:val="000000"/>
          <w:sz w:val="21"/>
        </w:rPr>
        <w:t>[Filed 7/14/69; amended 6/9/70, 9/18/70, 11/10/70, 4/14/71, 1/18/72, 2/11/72,</w:t>
      </w:r>
    </w:p>
    <w:p>
      <w:pPr>
        <w:spacing w:before="0" w:after="0"/>
        <w:ind w:left="120"/>
        <w:jc w:val="center"/>
      </w:pPr>
      <w:r>
        <w:rPr>
          <w:rFonts w:ascii="Times New Roman" w:hAnsi="Times New Roman"/>
          <w:b w:val="false"/>
          <w:i w:val="false"/>
          <w:color w:val="000000"/>
          <w:sz w:val="21"/>
        </w:rPr>
        <w:t>8/16/73, 3/28/74, 7/26/74, 1/15/75]</w:t>
      </w:r>
    </w:p>
    <w:p>
      <w:pPr>
        <w:spacing w:before="0" w:after="0"/>
        <w:ind w:left="120"/>
        <w:jc w:val="center"/>
      </w:pPr>
      <w:r>
        <w:rPr>
          <w:rFonts w:ascii="Times New Roman" w:hAnsi="Times New Roman"/>
          <w:b w:val="false"/>
          <w:i w:val="false"/>
          <w:color w:val="000000"/>
          <w:sz w:val="21"/>
        </w:rPr>
        <w:t>[Amendment filed 9/4/75, Notice 7/28/75—published 9/22/75, effective 10/27/75;</w:t>
      </w:r>
    </w:p>
    <w:p>
      <w:pPr>
        <w:spacing w:before="0" w:after="0"/>
        <w:ind w:left="120"/>
        <w:jc w:val="center"/>
      </w:pPr>
      <w:r>
        <w:rPr>
          <w:rFonts w:ascii="Times New Roman" w:hAnsi="Times New Roman"/>
          <w:b w:val="false"/>
          <w:i w:val="false"/>
          <w:color w:val="000000"/>
          <w:sz w:val="21"/>
        </w:rPr>
        <w:t>emergency amendment filed and effective 10/20/75—published 11/3/75]</w:t>
      </w:r>
    </w:p>
    <w:p>
      <w:pPr>
        <w:spacing w:before="0" w:after="0"/>
        <w:ind w:left="120"/>
        <w:jc w:val="center"/>
      </w:pPr>
      <w:r>
        <w:rPr>
          <w:rFonts w:ascii="Times New Roman" w:hAnsi="Times New Roman"/>
          <w:b w:val="false"/>
          <w:i w:val="false"/>
          <w:color w:val="000000"/>
          <w:sz w:val="21"/>
        </w:rPr>
        <w:t>[Emergency amendment filed and effective 11/4/75—published 11/17/75]</w:t>
      </w:r>
    </w:p>
    <w:p>
      <w:pPr>
        <w:spacing w:before="0" w:after="0"/>
        <w:ind w:left="120"/>
        <w:jc w:val="center"/>
      </w:pPr>
      <w:r>
        <w:rPr>
          <w:rFonts w:ascii="Times New Roman" w:hAnsi="Times New Roman"/>
          <w:b w:val="false"/>
          <w:i w:val="false"/>
          <w:color w:val="000000"/>
          <w:sz w:val="21"/>
        </w:rPr>
        <w:t>[Filed emergency 8/16/76—published 9/8/76, effective 8/16/76]</w:t>
      </w:r>
    </w:p>
    <w:p>
      <w:pPr>
        <w:spacing w:before="0" w:after="0"/>
        <w:ind w:left="120"/>
        <w:jc w:val="center"/>
      </w:pPr>
      <w:r>
        <w:rPr>
          <w:rFonts w:ascii="Times New Roman" w:hAnsi="Times New Roman"/>
          <w:b w:val="false"/>
          <w:i w:val="false"/>
          <w:color w:val="000000"/>
          <w:sz w:val="21"/>
        </w:rPr>
        <w:t>[Filed 8/17/77, Notice 7/13/77—published 9/7/77, effective 10/12/77]</w:t>
      </w:r>
    </w:p>
    <w:p>
      <w:pPr>
        <w:spacing w:before="0" w:after="0"/>
        <w:ind w:left="120"/>
        <w:jc w:val="center"/>
      </w:pPr>
      <w:r>
        <w:rPr>
          <w:rFonts w:ascii="Times New Roman" w:hAnsi="Times New Roman"/>
          <w:b w:val="false"/>
          <w:i w:val="false"/>
          <w:color w:val="000000"/>
          <w:sz w:val="21"/>
        </w:rPr>
        <w:t>[Filed 8/2/78—published 8/23/78, effective 9/27/78]</w:t>
      </w:r>
    </w:p>
    <w:p>
      <w:pPr>
        <w:spacing w:before="0" w:after="0"/>
        <w:ind w:left="120"/>
        <w:jc w:val="center"/>
      </w:pPr>
      <w:r>
        <w:rPr>
          <w:rFonts w:ascii="Times New Roman" w:hAnsi="Times New Roman"/>
          <w:b w:val="false"/>
          <w:i w:val="false"/>
          <w:color w:val="000000"/>
          <w:sz w:val="21"/>
        </w:rPr>
        <w:t>[Filed 8/2/78, Notice 6/28/78—published 8/23/78, effective 9/27/78]</w:t>
      </w:r>
    </w:p>
    <w:p>
      <w:pPr>
        <w:spacing w:before="0" w:after="0"/>
        <w:ind w:left="120"/>
        <w:jc w:val="center"/>
      </w:pPr>
      <w:r>
        <w:rPr>
          <w:rFonts w:ascii="Times New Roman" w:hAnsi="Times New Roman"/>
          <w:b w:val="false"/>
          <w:i w:val="false"/>
          <w:color w:val="000000"/>
          <w:sz w:val="21"/>
        </w:rPr>
        <w:t>[Filed emergency 10/9/78—published 11/1/78, effective 10/9/78]</w:t>
      </w:r>
    </w:p>
    <w:p>
      <w:pPr>
        <w:spacing w:before="0" w:after="0"/>
        <w:ind w:left="120"/>
        <w:jc w:val="center"/>
      </w:pPr>
      <w:r>
        <w:rPr>
          <w:rFonts w:ascii="Times New Roman" w:hAnsi="Times New Roman"/>
          <w:b w:val="false"/>
          <w:i w:val="false"/>
          <w:color w:val="000000"/>
          <w:sz w:val="21"/>
        </w:rPr>
        <w:t>[Filed emergency 10/16/78—published 11/1/78, effective 10/16/78]</w:t>
      </w:r>
    </w:p>
    <w:p>
      <w:pPr>
        <w:spacing w:before="0" w:after="0"/>
        <w:ind w:left="120"/>
        <w:jc w:val="center"/>
      </w:pPr>
      <w:r>
        <w:rPr>
          <w:rFonts w:ascii="Times New Roman" w:hAnsi="Times New Roman"/>
          <w:b w:val="false"/>
          <w:i w:val="false"/>
          <w:color w:val="000000"/>
          <w:sz w:val="21"/>
        </w:rPr>
        <w:t>[Filed 2/14/79, Notice 12/14/78—published 3/7/79, effective 4/11/79]</w:t>
      </w:r>
    </w:p>
    <w:p>
      <w:pPr>
        <w:spacing w:before="0" w:after="0"/>
        <w:ind w:left="120"/>
        <w:jc w:val="center"/>
      </w:pPr>
      <w:r>
        <w:rPr>
          <w:rFonts w:ascii="Times New Roman" w:hAnsi="Times New Roman"/>
          <w:b w:val="false"/>
          <w:i w:val="false"/>
          <w:color w:val="000000"/>
          <w:sz w:val="21"/>
        </w:rPr>
        <w:t>[Filed emergency 6/22/79—published 7/11/79, effective 6/22/79]</w:t>
      </w:r>
    </w:p>
    <w:p>
      <w:pPr>
        <w:spacing w:before="0" w:after="0"/>
        <w:ind w:left="120"/>
        <w:jc w:val="center"/>
      </w:pPr>
      <w:r>
        <w:rPr>
          <w:rFonts w:ascii="Times New Roman" w:hAnsi="Times New Roman"/>
          <w:b w:val="false"/>
          <w:i w:val="false"/>
          <w:color w:val="000000"/>
          <w:sz w:val="21"/>
        </w:rPr>
        <w:t>[Filed 8/30/79, Notice 7/11/79—published 9/19/79, effective 10/24/79]</w:t>
      </w:r>
    </w:p>
    <w:p>
      <w:pPr>
        <w:spacing w:before="0" w:after="0"/>
        <w:ind w:left="120"/>
        <w:jc w:val="center"/>
      </w:pPr>
      <w:r>
        <w:rPr>
          <w:rFonts w:ascii="Times New Roman" w:hAnsi="Times New Roman"/>
          <w:b w:val="false"/>
          <w:i w:val="false"/>
          <w:color w:val="000000"/>
          <w:sz w:val="21"/>
        </w:rPr>
        <w:t>[Filed 10/12/79, Notice 8/22/79—published 10/31/79, effective 12/5/79]</w:t>
      </w:r>
    </w:p>
    <w:p>
      <w:pPr>
        <w:spacing w:before="0" w:after="0"/>
        <w:ind w:left="120"/>
        <w:jc w:val="center"/>
      </w:pPr>
      <w:r>
        <w:rPr>
          <w:rFonts w:ascii="Times New Roman" w:hAnsi="Times New Roman"/>
          <w:b w:val="false"/>
          <w:i w:val="false"/>
          <w:color w:val="000000"/>
          <w:sz w:val="21"/>
        </w:rPr>
        <w:t>[Filed emergency 10/26/79—published 11/14/79, effective 10/26/79]</w:t>
      </w:r>
    </w:p>
    <w:p>
      <w:pPr>
        <w:spacing w:before="0" w:after="0"/>
        <w:ind w:left="120"/>
        <w:jc w:val="center"/>
      </w:pPr>
      <w:r>
        <w:rPr>
          <w:rFonts w:ascii="Times New Roman" w:hAnsi="Times New Roman"/>
          <w:b w:val="false"/>
          <w:i w:val="false"/>
          <w:color w:val="000000"/>
          <w:sz w:val="21"/>
        </w:rPr>
        <w:t>[Filed 4/30/80, Notice 12/12/80—published 5/28/80, effective 7/2/80]</w:t>
      </w:r>
    </w:p>
    <w:p>
      <w:pPr>
        <w:spacing w:before="0" w:after="0"/>
        <w:ind w:left="120"/>
        <w:jc w:val="center"/>
      </w:pPr>
      <w:r>
        <w:rPr>
          <w:rFonts w:ascii="Times New Roman" w:hAnsi="Times New Roman"/>
          <w:b w:val="false"/>
          <w:i w:val="false"/>
          <w:color w:val="000000"/>
          <w:sz w:val="21"/>
        </w:rPr>
        <w:t>[Filed 11/7/80, Notice 9/3/80—published 11/26/80, effective 12/31/80]</w:t>
      </w:r>
    </w:p>
    <w:p>
      <w:pPr>
        <w:spacing w:before="0" w:after="0"/>
        <w:ind w:left="120"/>
        <w:jc w:val="center"/>
      </w:pPr>
      <w:r>
        <w:rPr>
          <w:rFonts w:ascii="Times New Roman" w:hAnsi="Times New Roman"/>
          <w:b w:val="false"/>
          <w:i w:val="false"/>
          <w:color w:val="000000"/>
          <w:sz w:val="21"/>
        </w:rPr>
        <w:t>[Filed 1/2/81, Notice 10/1/80—published 1/21/81, effective 2/25/81]</w:t>
      </w:r>
    </w:p>
    <w:p>
      <w:pPr>
        <w:spacing w:before="0" w:after="0"/>
        <w:ind w:left="120"/>
        <w:jc w:val="center"/>
      </w:pPr>
      <w:r>
        <w:rPr>
          <w:rFonts w:ascii="Times New Roman" w:hAnsi="Times New Roman"/>
          <w:b w:val="false"/>
          <w:i w:val="false"/>
          <w:color w:val="000000"/>
          <w:sz w:val="21"/>
        </w:rPr>
        <w:t>[Filed 2/13/81, Notice 11/26/80—published 3/4/81, effective 4/8/81]</w:t>
      </w:r>
    </w:p>
    <w:p>
      <w:pPr>
        <w:spacing w:before="0" w:after="0"/>
        <w:ind w:left="120"/>
        <w:jc w:val="center"/>
      </w:pPr>
      <w:r>
        <w:rPr>
          <w:rFonts w:ascii="Times New Roman" w:hAnsi="Times New Roman"/>
          <w:b w:val="false"/>
          <w:i w:val="false"/>
          <w:color w:val="000000"/>
          <w:sz w:val="21"/>
        </w:rPr>
        <w:t>[Filed 3/26/81, Notice 1/7/81—published 4/15/81, effective 5/20/81]</w:t>
      </w:r>
    </w:p>
    <w:p>
      <w:pPr>
        <w:spacing w:before="0" w:after="0"/>
        <w:ind w:left="120"/>
        <w:jc w:val="center"/>
      </w:pPr>
      <w:r>
        <w:rPr>
          <w:rFonts w:ascii="Times New Roman" w:hAnsi="Times New Roman"/>
          <w:b w:val="false"/>
          <w:i w:val="false"/>
          <w:color w:val="000000"/>
          <w:sz w:val="21"/>
        </w:rPr>
        <w:t>[Filed emergency 7/6/81—published 7/22/81, effective 7/6/81]</w:t>
      </w:r>
    </w:p>
    <w:p>
      <w:pPr>
        <w:spacing w:before="0" w:after="0"/>
        <w:ind w:left="120"/>
        <w:jc w:val="center"/>
      </w:pPr>
      <w:r>
        <w:rPr>
          <w:rFonts w:ascii="Times New Roman" w:hAnsi="Times New Roman"/>
          <w:b w:val="false"/>
          <w:i w:val="false"/>
          <w:color w:val="000000"/>
          <w:sz w:val="21"/>
        </w:rPr>
        <w:t>[Filed 8/14/81, Notice 6/24/81—published 9/2/81, effective 10/7/81]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12/18/81, Notice 10/14/81—published 1/6/82, effective 2/10/82]</w:t>
      </w:r>
    </w:p>
    <w:p>
      <w:pPr>
        <w:spacing w:before="0" w:after="0"/>
        <w:ind w:left="120"/>
        <w:jc w:val="center"/>
      </w:pPr>
      <w:r>
        <w:rPr>
          <w:rFonts w:ascii="Times New Roman" w:hAnsi="Times New Roman"/>
          <w:b w:val="false"/>
          <w:i w:val="false"/>
          <w:color w:val="000000"/>
          <w:sz w:val="21"/>
        </w:rPr>
        <w:t>[Filed emergency after Notice 7/14/82, Notice 6/9/82—published 8/4/82, effective 7/14/82]</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2/11/83—published 3/2/83, effective 2/11/83]</w:t>
      </w:r>
    </w:p>
    <w:p>
      <w:pPr>
        <w:spacing w:before="0" w:after="0"/>
        <w:ind w:left="120"/>
        <w:jc w:val="center"/>
      </w:pPr>
      <w:r>
        <w:rPr>
          <w:rFonts w:ascii="Times New Roman" w:hAnsi="Times New Roman"/>
          <w:b w:val="false"/>
          <w:i w:val="false"/>
          <w:color w:val="000000"/>
          <w:sz w:val="21"/>
        </w:rPr>
        <w:t>[Filed emergency 7/15/83—published 8/3/83, effective 7/15/83]</w:t>
      </w:r>
    </w:p>
    <w:p>
      <w:pPr>
        <w:spacing w:before="0" w:after="0"/>
        <w:ind w:left="120"/>
        <w:jc w:val="center"/>
      </w:pPr>
      <w:r>
        <w:rPr>
          <w:rFonts w:ascii="Times New Roman" w:hAnsi="Times New Roman"/>
          <w:b w:val="false"/>
          <w:i w:val="false"/>
          <w:color w:val="000000"/>
          <w:sz w:val="21"/>
        </w:rPr>
        <w:t>[Filed 10/21/83, Notice 8/3/83—published 11/9/83, effective 12/14/83]</w:t>
      </w:r>
    </w:p>
    <w:p>
      <w:pPr>
        <w:spacing w:before="0" w:after="0"/>
        <w:ind w:left="120"/>
        <w:jc w:val="center"/>
      </w:pPr>
      <w:r>
        <w:rPr>
          <w:rFonts w:ascii="Times New Roman" w:hAnsi="Times New Roman"/>
          <w:b w:val="false"/>
          <w:i w:val="false"/>
          <w:color w:val="000000"/>
          <w:sz w:val="21"/>
        </w:rPr>
        <w:t>[Filed 2/24/84, Notice 1/18/84—published 3/14/84, effective 4/18/84]</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emergency 8/23/85—published 9/11/85, effective 8/23/85]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12/13/85, Notice 10/9/85—published 1/1/86, effective 2/5/86]</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r>
        <w:rPr>
          <w:rFonts w:ascii="Times New Roman" w:hAnsi="Times New Roman"/>
          <w:b w:val="false"/>
          <w:i w:val="false"/>
          <w:color w:val="000000"/>
          <w:sz w:val="16"/>
        </w:rPr>
        <w:t>Filed objection to 4.5(2) overcome, see attorney general opinion 1/21/76, 1976 OAG 410</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10/27/88, Notice 9/21/88—published 11/16/88, effective 12/21/88]</w:t>
      </w:r>
    </w:p>
    <w:p>
      <w:pPr>
        <w:spacing w:before="0" w:after="0"/>
        <w:ind w:left="120"/>
        <w:jc w:val="center"/>
      </w:pPr>
      <w:r>
        <w:rPr>
          <w:rFonts w:ascii="Times New Roman" w:hAnsi="Times New Roman"/>
          <w:b w:val="false"/>
          <w:i w:val="false"/>
          <w:color w:val="000000"/>
          <w:sz w:val="21"/>
        </w:rPr>
        <w:t>[Filed 3/29/89, Notice 2/8/89—published 4/19/89, effective 5/26/89]</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9/28/90, Notice 7/11/90—published 10/17/90, effective 11/23/90]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4/3/98, Notice 2/25/98—published 4/22/98, effective 5/27/98]</w:t>
      </w:r>
    </w:p>
    <w:p>
      <w:pPr>
        <w:spacing w:before="0" w:after="0"/>
        <w:ind w:left="120"/>
        <w:jc w:val="center"/>
      </w:pPr>
      <w:r>
        <w:rPr>
          <w:rFonts w:ascii="Times New Roman" w:hAnsi="Times New Roman"/>
          <w:b w:val="false"/>
          <w:i w:val="false"/>
          <w:color w:val="000000"/>
          <w:sz w:val="21"/>
        </w:rPr>
        <w:t>[Filed 12/23/98, Notice 11/4/98—published 1/13/99, effective 2/17/99]</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emergency 5/31/02 after Notice 4/3/02—published 6/26/02, effective 7/1/02]</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11/30/05, Notice 10/26/05—published 12/21/05, effective 1/25/06]</w:t>
      </w:r>
    </w:p>
    <w:p>
      <w:pPr>
        <w:spacing w:before="0" w:after="0"/>
        <w:ind w:left="120"/>
        <w:jc w:val="center"/>
      </w:pPr>
      <w:r>
        <w:rPr>
          <w:rFonts w:ascii="Times New Roman" w:hAnsi="Times New Roman"/>
          <w:b w:val="false"/>
          <w:i w:val="false"/>
          <w:color w:val="000000"/>
          <w:sz w:val="21"/>
        </w:rPr>
        <w:t>[Filed ARC 8979B</w:t>
      </w:r>
      <w:r>
        <w:rPr>
          <w:rFonts w:ascii="Times New Roman" w:hAnsi="Times New Roman"/>
          <w:b w:val="false"/>
          <w:i w:val="false"/>
          <w:color w:val="000000"/>
          <w:sz w:val="21"/>
        </w:rPr>
        <w:t xml:space="preserve"> (Notice ARC 8781B,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pBdr>
          <w:bottom w:space="2"/>
        </w:pBdr>
        <w:spacing w:before="0" w:after="0"/>
        <w:ind w:left="120"/>
        <w:jc w:val="both"/>
      </w:pPr>
      <w:r>
        <w:rPr>
          <w:rFonts w:ascii="Times New Roman" w:hAnsi="Times New Roman"/>
          <w:b w:val="false"/>
          <w:i w:val="false"/>
          <w:color w:val="000000"/>
          <w:sz w:val="22"/>
        </w:rPr>
        <w:t>Effective date of 4.3, 4.4, 4.5, 4.7, 4.9 and 4.10 delayed 70 days by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53.5.pdf" Type="http://schemas.openxmlformats.org/officeDocument/2006/relationships/hyperlink" Id="rId5"/>
    <Relationship TargetMode="External" Target="https://www.legis.iowa.gov/docs/iac/rule/11.53.5.pdf" Type="http://schemas.openxmlformats.org/officeDocument/2006/relationships/hyperlink" Id="rId6"/>
    <Relationship TargetMode="External" Target="https://www.legis.iowa.gov/docs/iac/rule/11.53.6.pdf" Type="http://schemas.openxmlformats.org/officeDocument/2006/relationships/hyperlink" Id="rId7"/>
    <Relationship TargetMode="External" Target="https://www.legis.iowa.gov/docs/iac/rule/11.53.6.pdf" Type="http://schemas.openxmlformats.org/officeDocument/2006/relationships/hyperlink" Id="rId8"/>
    <Relationship TargetMode="External" Target="https://www.legis.iowa.gov/docs/iac/rule/11.53.8.pdf" Type="http://schemas.openxmlformats.org/officeDocument/2006/relationships/hyperlink" Id="rId9"/>
    <Relationship TargetMode="External" Target="https://www.legis.iowa.gov/docs/iac/rule/11.53.6.pdf" Type="http://schemas.openxmlformats.org/officeDocument/2006/relationships/hyperlink" Id="rId10"/>
    <Relationship TargetMode="External" Target="https://www.legis.iowa.gov/docs/iac/rule/11.53.6.pdf" Type="http://schemas.openxmlformats.org/officeDocument/2006/relationships/hyperlink" Id="rId11"/>
    <Relationship TargetMode="External" Target="https://www.legis.iowa.gov/docs/iac/rule/11.53.7.pdf" Type="http://schemas.openxmlformats.org/officeDocument/2006/relationships/hyperlink" Id="rId12"/>
    <Relationship TargetMode="External" Target="https://www.legis.iowa.gov/docs/iac/rule/11.53.6.pdf" Type="http://schemas.openxmlformats.org/officeDocument/2006/relationships/hyperlink" Id="rId13"/>
    <Relationship TargetMode="External" Target="https://www.legis.iowa.gov/docs/iac/rule/11.53.6.pdf" Type="http://schemas.openxmlformats.org/officeDocument/2006/relationships/hyperlink" Id="rId14"/>
    <Relationship TargetMode="External" Target="https://www.legis.iowa.gov/docs/iac/rule/11.53.7.pdf" Type="http://schemas.openxmlformats.org/officeDocument/2006/relationships/hyperlink" Id="rId15"/>
    <Relationship TargetMode="External" Target="https://www.legis.iowa.gov/docs/iac/rule/11.53.7.pdf" Type="http://schemas.openxmlformats.org/officeDocument/2006/relationships/hyperlink" Id="rId16"/>
    <Relationship TargetMode="External" Target="https://www.legis.iowa.gov/docs/iac/rule/11.53.6.pdf" Type="http://schemas.openxmlformats.org/officeDocument/2006/relationships/hyperlink" Id="rId17"/>
    <Relationship TargetMode="External" Target="https://www.legis.iowa.gov/docs/iac/rule/11.53.6.pdf" Type="http://schemas.openxmlformats.org/officeDocument/2006/relationships/hyperlink" Id="rId18"/>
    <Relationship TargetMode="External" Target="https://www.legis.iowa.gov/docs/iac/rule/11.53.6.pdf" Type="http://schemas.openxmlformats.org/officeDocument/2006/relationships/hyperlink" Id="rId19"/>
    <Relationship TargetMode="External" Target="https://www.legis.iowa.gov/docs/iac/rule/11.53.6.pdf" Type="http://schemas.openxmlformats.org/officeDocument/2006/relationships/hyperlink" Id="rId20"/>
    <Relationship TargetMode="External" Target="https://www.legis.iowa.gov/docs/iac/rule/11.53.6.pdf" Type="http://schemas.openxmlformats.org/officeDocument/2006/relationships/hyperlink" Id="rId21"/>
    <Relationship TargetMode="External" Target="https://www.legis.iowa.gov/docs/iac/rule/11.53.7.pdf" Type="http://schemas.openxmlformats.org/officeDocument/2006/relationships/hyperlink" Id="rId22"/>
    <Relationship TargetMode="External" Target="https://www.legis.iowa.gov/docs/iac/rule/11.53.6.pdf" Type="http://schemas.openxmlformats.org/officeDocument/2006/relationships/hyperlink" Id="rId23"/>
    <Relationship TargetMode="External" Target="https://www.legis.iowa.gov/docs/iac/rule/11.53.6.pdf" Type="http://schemas.openxmlformats.org/officeDocument/2006/relationships/hyperlink" Id="rId24"/>
    <Relationship TargetMode="External" Target="https://www.legis.iowa.gov/docs/iac/rule/11.53.6.pdf" Type="http://schemas.openxmlformats.org/officeDocument/2006/relationships/hyperlink" Id="rId25"/>
    <Relationship TargetMode="External" Target="https://www.legis.iowa.gov/docs/iac/rule/11.53.6.pdf" Type="http://schemas.openxmlformats.org/officeDocument/2006/relationships/hyperlink" Id="rId26"/>
    <Relationship TargetMode="External" Target="https://www.legis.iowa.gov/docs/iac/rule/11.53.6.pdf" Type="http://schemas.openxmlformats.org/officeDocument/2006/relationships/hyperlink" Id="rId27"/>
    <Relationship TargetMode="External" Target="https://www.legis.iowa.gov/docs/iac/rule/11.53.6.pdf" Type="http://schemas.openxmlformats.org/officeDocument/2006/relationships/hyperlink" Id="rId28"/>
    <Relationship TargetMode="External" Target="https://www.legis.iowa.gov/docs/iac/rule/11.53.7.pdf" Type="http://schemas.openxmlformats.org/officeDocument/2006/relationships/hyperlink" Id="rId29"/>
    <Relationship TargetMode="External" Target="https://www.legis.iowa.gov/docs/iac/rule/11.53.6.pdf" Type="http://schemas.openxmlformats.org/officeDocument/2006/relationships/hyperlink" Id="rId30"/>
    <Relationship TargetMode="External" Target="https://www.legis.iowa.gov/docs/iac/rule/11.53.6.pdf" Type="http://schemas.openxmlformats.org/officeDocument/2006/relationships/hyperlink" Id="rId31"/>
    <Relationship TargetMode="External" Target="https://www.legis.iowa.gov/docs/iac/rule/11.53.7.pdf" Type="http://schemas.openxmlformats.org/officeDocument/2006/relationships/hyperlink" Id="rId32"/>
    <Relationship TargetMode="External" Target="https://www.legis.iowa.gov/docs/iac/rule/11.60.3.pdf" Type="http://schemas.openxmlformats.org/officeDocument/2006/relationships/hyperlink" Id="rId33"/>
    <Relationship TargetMode="External" Target="https://www.legis.iowa.gov/docs/iac/rule/11.53.6.pdf" Type="http://schemas.openxmlformats.org/officeDocument/2006/relationships/hyperlink" Id="rId34"/>
    <Relationship TargetMode="External" Target="https://www.legis.iowa.gov/docs/iac/rule/11.53.6.pdf" Type="http://schemas.openxmlformats.org/officeDocument/2006/relationships/hyperlink" Id="rId35"/>
    <Relationship TargetMode="External" Target="https://www.legis.iowa.gov/docs/iac/rule/11.53.7.pdf" Type="http://schemas.openxmlformats.org/officeDocument/2006/relationships/hyperlink" Id="rId36"/>
    <Relationship TargetMode="External" Target="https://www.legis.iowa.gov/docs/iac/rule/11.53.4.pdf" Type="http://schemas.openxmlformats.org/officeDocument/2006/relationships/hyperlink" Id="rId37"/>
    <Relationship TargetMode="External" Target="https://www.legis.iowa.gov/docs/iac/rule/11.50.1.pdf" Type="http://schemas.openxmlformats.org/officeDocument/2006/relationships/hyperlink" Id="rId38"/>
    <Relationship TargetMode="External" Target="https://www.legis.iowa.gov/docs/iac/rule/11.53.6.pdf" Type="http://schemas.openxmlformats.org/officeDocument/2006/relationships/hyperlink" Id="rId39"/>
    <Relationship TargetMode="External" Target="https://www.legis.iowa.gov/docs/iac/rule/11.53.6.pdf" Type="http://schemas.openxmlformats.org/officeDocument/2006/relationships/hyperlink" Id="rId40"/>
    <Relationship TargetMode="External" Target="https://www.legis.iowa.gov/docs/iac/rule/11.61.1.pdf" Type="http://schemas.openxmlformats.org/officeDocument/2006/relationships/hyperlink" Id="rId41"/>
    <Relationship TargetMode="External" Target="https://www.legis.iowa.gov/docs/iac/rule/11.61.2.pdf" Type="http://schemas.openxmlformats.org/officeDocument/2006/relationships/hyperlink" Id="rId42"/>
    <Relationship TargetMode="External" Target="https://www.legis.iowa.gov/docs/ico/chapter/8A.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