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COVERAGE AND EXCLUSIONS</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1/21/04, see 581—Ch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11—51.1</w:t>
      </w:r>
      <w:r>
        <w:rPr>
          <w:rFonts w:ascii="Times New Roman" w:hAnsi="Times New Roman"/>
          <w:b/>
          <w:i w:val="false"/>
          <w:color w:val="000000"/>
          <w:sz w:val="22"/>
        </w:rPr>
        <w:t xml:space="preserve">(8A) </w:t>
      </w:r>
      <w:r>
        <w:rPr>
          <w:rFonts w:ascii="Times New Roman" w:hAnsi="Times New Roman"/>
          <w:b/>
          <w:i w:val="false"/>
          <w:color w:val="000000"/>
          <w:sz w:val="22"/>
        </w:rPr>
        <w:t xml:space="preserve">State personnel system. </w:t>
      </w:r>
      <w:r>
        <w:rPr>
          <w:rFonts w:ascii="Times New Roman" w:hAnsi="Times New Roman"/>
          <w:b w:val="false"/>
          <w:i w:val="false"/>
          <w:color w:val="000000"/>
          <w:sz w:val="22"/>
        </w:rPr>
        <w:t>The state personnel system shall include and apply to all positions in the executive branch of state government, except those specifically excluded by law.</w:t>
      </w:r>
    </w:p>
    <w:p>
      <w:pPr>
        <w:spacing w:before="0" w:after="0"/>
        <w:ind w:left="120"/>
        <w:jc w:val="both"/>
      </w:pPr>
      <w:r>
        <w:rPr>
          <w:rFonts w:ascii="Times New Roman" w:hAnsi="Times New Roman"/>
          <w:b/>
          <w:i w:val="false"/>
          <w:color w:val="000000"/>
          <w:sz w:val="22"/>
        </w:rPr>
        <w:t>11—51.2</w:t>
      </w:r>
      <w:r>
        <w:rPr>
          <w:rFonts w:ascii="Times New Roman" w:hAnsi="Times New Roman"/>
          <w:b/>
          <w:i w:val="false"/>
          <w:color w:val="000000"/>
          <w:sz w:val="22"/>
        </w:rPr>
        <w:t xml:space="preserve">(8A) </w:t>
      </w:r>
      <w:r>
        <w:rPr>
          <w:rFonts w:ascii="Times New Roman" w:hAnsi="Times New Roman"/>
          <w:b/>
          <w:i w:val="false"/>
          <w:color w:val="000000"/>
          <w:sz w:val="22"/>
        </w:rPr>
        <w:t xml:space="preserve">Merit system. </w:t>
      </w:r>
      <w:r>
        <w:rPr>
          <w:rFonts w:ascii="Times New Roman" w:hAnsi="Times New Roman"/>
          <w:b w:val="false"/>
          <w:i w:val="false"/>
          <w:color w:val="000000"/>
          <w:sz w:val="22"/>
        </w:rPr>
        <w:t xml:space="preserve">The merit system shall include and apply to those positions in the state personnel system which have been determined by the director to be covered by Iowa Code section </w:t>
      </w:r>
      <w:hyperlink r:id="rId5">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as it pertains to qualifications, examinations, probation, and just cause discipline and discharge hearings, hereinafter referred to as merit system provisions. Whenever the director determines that a position should be covered by or not covered by merit system provisions, the director shall notify the appointing authority in writing of the decision and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Exclusion of division administrators and policy-making positions. </w:t>
      </w:r>
      <w:r>
        <w:rPr>
          <w:rFonts w:ascii="Times New Roman" w:hAnsi="Times New Roman"/>
          <w:b w:val="false"/>
          <w:i w:val="false"/>
          <w:color w:val="000000"/>
          <w:sz w:val="22"/>
        </w:rPr>
        <w:t xml:space="preserve">The appointing authority of each agency shall submit to the director for approval the position number and title of each position referred to in Iowa Code section </w:t>
      </w:r>
      <w:hyperlink r:id="rId6">
        <w:r>
          <w:rPr>
            <w:rStyle w:val="Hyperlink"/>
            <w:rFonts w:ascii="Times New Roman" w:hAnsi="Times New Roman"/>
            <w:b w:val="false"/>
            <w:i w:val="false"/>
            <w:color w:val="000000"/>
            <w:sz w:val="22"/>
          </w:rPr>
          <w:t>8A.412</w:t>
        </w:r>
      </w:hyperlink>
      <w:r>
        <w:rPr>
          <w:rFonts w:ascii="Times New Roman" w:hAnsi="Times New Roman"/>
          <w:b w:val="false"/>
          <w:i w:val="false"/>
          <w:color w:val="000000"/>
          <w:sz w:val="22"/>
        </w:rPr>
        <w:t xml:space="preserve"> and proposed for exclusion from coverage by the merit system provisions referred to in Iowa Code section </w:t>
      </w:r>
      <w:hyperlink r:id="rId7">
        <w:r>
          <w:rPr>
            <w:rStyle w:val="Hyperlink"/>
            <w:rFonts w:ascii="Times New Roman" w:hAnsi="Times New Roman"/>
            <w:b w:val="false"/>
            <w:i w:val="false"/>
            <w:color w:val="000000"/>
            <w:sz w:val="22"/>
          </w:rPr>
          <w:t>8A.411(4)</w:t>
        </w:r>
      </w:hyperlink>
      <w:r>
        <w:rPr>
          <w:rFonts w:ascii="Times New Roman" w:hAnsi="Times New Roman"/>
          <w:b w:val="false"/>
          <w:i w:val="false"/>
          <w:color w:val="000000"/>
          <w:sz w:val="22"/>
        </w:rPr>
        <w:t>. Subsequent changes in the number or duties of these positions shall be submitted to the director for exclusion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Exclusion of confidential employees. </w:t>
      </w:r>
      <w:r>
        <w:rPr>
          <w:rFonts w:ascii="Times New Roman" w:hAnsi="Times New Roman"/>
          <w:b w:val="false"/>
          <w:i w:val="false"/>
          <w:color w:val="000000"/>
          <w:sz w:val="22"/>
        </w:rPr>
        <w:t xml:space="preserve">Confidential employees excluded from coverage by merit system provisions shall be as provided for in </w:t>
      </w:r>
      <w:hyperlink r:id="rId8">
        <w:r>
          <w:rPr>
            <w:rStyle w:val="Hyperlink"/>
            <w:rFonts w:ascii="Times New Roman" w:hAnsi="Times New Roman"/>
            <w:b w:val="false"/>
            <w:i w:val="false"/>
            <w:color w:val="000000"/>
            <w:sz w:val="22"/>
          </w:rPr>
          <w:t>11—Chapter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Other exclusions. </w:t>
      </w:r>
      <w:r>
        <w:rPr>
          <w:rFonts w:ascii="Times New Roman" w:hAnsi="Times New Roman"/>
          <w:b w:val="false"/>
          <w:i w:val="false"/>
          <w:color w:val="000000"/>
          <w:sz w:val="22"/>
        </w:rPr>
        <w:t xml:space="preserve">For further information regarding exclusions from merit system coverage, refer to Iowa Code section </w:t>
      </w:r>
      <w:hyperlink r:id="rId9">
        <w:r>
          <w:rPr>
            <w:rStyle w:val="Hyperlink"/>
            <w:rFonts w:ascii="Times New Roman" w:hAnsi="Times New Roman"/>
            <w:b w:val="false"/>
            <w:i w:val="false"/>
            <w:color w:val="000000"/>
            <w:sz w:val="22"/>
          </w:rPr>
          <w:t>8A.412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11—51.3</w:t>
      </w:r>
      <w:r>
        <w:rPr>
          <w:rFonts w:ascii="Times New Roman" w:hAnsi="Times New Roman"/>
          <w:b/>
          <w:i w:val="false"/>
          <w:color w:val="000000"/>
          <w:sz w:val="22"/>
        </w:rPr>
        <w:t xml:space="preserve">(8A) </w:t>
      </w:r>
      <w:r>
        <w:rPr>
          <w:rFonts w:ascii="Times New Roman" w:hAnsi="Times New Roman"/>
          <w:b/>
          <w:i w:val="false"/>
          <w:color w:val="000000"/>
          <w:sz w:val="22"/>
        </w:rPr>
        <w:t xml:space="preserve">Confidential collective bargaining exclusion. </w:t>
      </w:r>
      <w:r>
        <w:rPr>
          <w:rFonts w:ascii="Times New Roman" w:hAnsi="Times New Roman"/>
          <w:b w:val="false"/>
          <w:i w:val="false"/>
          <w:color w:val="000000"/>
          <w:sz w:val="22"/>
        </w:rPr>
        <w:t>An appointing authority may request the director to exclude a position in a class covered by a collective bargaining agreement from coverage by that agreement based upon the definition of a confidential employee in these rules. The request shall be submitted to the director in writing and include the reasons why the position should be excluded. The director shall notify the appointing authority of the decision.</w:t>
      </w:r>
    </w:p>
    <w:p>
      <w:pPr>
        <w:spacing w:before="0" w:after="0"/>
        <w:ind w:left="120"/>
        <w:jc w:val="both"/>
      </w:pPr>
      <w:r>
        <w:rPr>
          <w:rFonts w:ascii="Times New Roman" w:hAnsi="Times New Roman"/>
          <w:b w:val="false"/>
          <w:i w:val="false"/>
          <w:color w:val="000000"/>
          <w:sz w:val="22"/>
        </w:rPr>
        <w:t>Whenever a position in a class covered by a collective bargaining agreement has been excluded by the director under this rule, the employee in the position shall be subject to these rules.</w:t>
      </w:r>
    </w:p>
    <w:p>
      <w:pPr>
        <w:spacing w:before="210" w:after="0"/>
        <w:ind w:left="120"/>
        <w:jc w:val="both"/>
      </w:pPr>
      <w:r>
        <w:rPr>
          <w:rFonts w:ascii="Times New Roman" w:hAnsi="Times New Roman"/>
          <w:b/>
          <w:i w:val="false"/>
          <w:color w:val="000000"/>
          <w:sz w:val="22"/>
        </w:rPr>
        <w:t>11—51.4</w:t>
      </w:r>
      <w:r>
        <w:rPr>
          <w:rFonts w:ascii="Times New Roman" w:hAnsi="Times New Roman"/>
          <w:b/>
          <w:i w:val="false"/>
          <w:color w:val="000000"/>
          <w:sz w:val="22"/>
        </w:rPr>
        <w:t xml:space="preserve">(8A) </w:t>
      </w:r>
      <w:r>
        <w:rPr>
          <w:rFonts w:ascii="Times New Roman" w:hAnsi="Times New Roman"/>
          <w:b/>
          <w:i w:val="false"/>
          <w:color w:val="000000"/>
          <w:sz w:val="22"/>
        </w:rPr>
        <w:t xml:space="preserve">Personnel services contracts. </w:t>
      </w:r>
      <w:r>
        <w:rPr>
          <w:rFonts w:ascii="Times New Roman" w:hAnsi="Times New Roman"/>
          <w:b w:val="false"/>
          <w:i w:val="false"/>
          <w:color w:val="000000"/>
          <w:sz w:val="22"/>
        </w:rPr>
        <w:t>Individuals providing services to the state pursuant to an authorized fee-for-services contract, including persons supplied by a temporary employment service, are not employees of the state. Persons providing services under this rule who are determined to have a common law employer-employee relationship with the state may, however, be subject to withholding for certain taxes, social security, Medicare, and federal unemployment taxes under the Federal Unemployment Tax Act.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Iowa Code chapters </w:t>
      </w:r>
      <w:hyperlink r:id="rId11">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4/11/69; amended 12/1/72]</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2/28/80, Notice 12/26/79—published 3/19/80, effective 4/23/80]</w:t>
      </w:r>
    </w:p>
    <w:p>
      <w:pPr>
        <w:spacing w:before="0" w:after="0"/>
        <w:ind w:left="120"/>
        <w:jc w:val="center"/>
      </w:pPr>
      <w:r>
        <w:rPr>
          <w:rFonts w:ascii="Times New Roman" w:hAnsi="Times New Roman"/>
          <w:b w:val="false"/>
          <w:i w:val="false"/>
          <w:color w:val="000000"/>
          <w:sz w:val="21"/>
        </w:rPr>
        <w:t>[Filed 11/7/80, Notice 9/3/80—published 11/26/80, effective 12/31/80]</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7/1/83—published 7/20/83, effective 7/1/83]</w:t>
      </w:r>
    </w:p>
    <w:p>
      <w:pPr>
        <w:spacing w:before="0" w:after="0"/>
        <w:ind w:left="120"/>
        <w:jc w:val="center"/>
      </w:pPr>
      <w:r>
        <w:rPr>
          <w:rFonts w:ascii="Times New Roman" w:hAnsi="Times New Roman"/>
          <w:b w:val="false"/>
          <w:i w:val="false"/>
          <w:color w:val="000000"/>
          <w:sz w:val="21"/>
        </w:rPr>
        <w:t>[Filed 9/26/83, Notice 7/20/83—published 10/12/83, effective 11/16/83]</w:t>
      </w:r>
    </w:p>
    <w:p>
      <w:pPr>
        <w:spacing w:before="0" w:after="0"/>
        <w:ind w:left="120"/>
        <w:jc w:val="center"/>
      </w:pPr>
      <w:r>
        <w:rPr>
          <w:rFonts w:ascii="Times New Roman" w:hAnsi="Times New Roman"/>
          <w:b w:val="false"/>
          <w:i w:val="false"/>
          <w:color w:val="000000"/>
          <w:sz w:val="21"/>
        </w:rPr>
        <w:t>[Filed 3/25/85, Notice 10/24/84—published 4/10/85, effective 5/15/85]</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pBdr>
          <w:bottom w:space="2"/>
        </w:pBdr>
        <w:spacing w:before="0" w:after="0"/>
        <w:ind w:left="120"/>
        <w:jc w:val="both"/>
      </w:pPr>
      <w:r>
        <w:rPr>
          <w:rFonts w:ascii="Times New Roman" w:hAnsi="Times New Roman"/>
          <w:b w:val="false"/>
          <w:i w:val="false"/>
          <w:color w:val="000000"/>
          <w:sz w:val="22"/>
        </w:rPr>
        <w:t>Effective date of 2.2(4) delayed seventy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411.pdf" Type="http://schemas.openxmlformats.org/officeDocument/2006/relationships/hyperlink" Id="rId5"/>
    <Relationship TargetMode="External" Target="https://www.legis.iowa.gov/docs/ico/chapter/8A.412.pdf" Type="http://schemas.openxmlformats.org/officeDocument/2006/relationships/hyperlink" Id="rId6"/>
    <Relationship TargetMode="External" Target="https://www.legis.iowa.gov/docs/ico/chapter/8A.411.pdf" Type="http://schemas.openxmlformats.org/officeDocument/2006/relationships/hyperlink" Id="rId7"/>
    <Relationship TargetMode="External" Target="https://www.legis.iowa.gov/docs/iac/chapter/11.50.pdf" Type="http://schemas.openxmlformats.org/officeDocument/2006/relationships/hyperlink" Id="rId8"/>
    <Relationship TargetMode="External" Target="https://www.legis.iowa.gov/docs/ico/chapter/8A.412.pdf" Type="http://schemas.openxmlformats.org/officeDocument/2006/relationships/hyperlink" Id="rId9"/>
    <Relationship TargetMode="External" Target="https://www.legis.iowa.gov/docs/ico/chapter/8A.413.pdf" Type="http://schemas.openxmlformats.org/officeDocument/2006/relationships/hyperlink" Id="rId10"/>
    <Relationship TargetMode="External" Target="https://www.legis.iowa.gov/docs/ico/chapter/19B.pdf" Type="http://schemas.openxmlformats.org/officeDocument/2006/relationships/hyperlink" Id="rId11"/>
    <Relationship TargetMode="External" Target="https://www.legis.iowa.gov/docs/ico/chapter/70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