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48</w:t>
      </w:r>
    </w:p>
    <w:p>
      <w:pPr>
        <w:spacing w:before="0" w:after="0"/>
        <w:ind w:left="120"/>
        <w:jc w:val="center"/>
      </w:pPr>
      <w:r>
        <w:rPr>
          <w:rFonts w:ascii="Times New Roman" w:hAnsi="Times New Roman"/>
          <w:b w:val="false"/>
          <w:i w:val="false"/>
          <w:color w:val="000000"/>
          <w:sz w:val="21"/>
        </w:rPr>
        <w:t>PREPAYMENT OF EXPENSES</w:t>
      </w:r>
    </w:p>
    <w:p>
      <w:pPr>
        <w:spacing w:before="0" w:after="0"/>
        <w:ind w:left="120"/>
        <w:jc w:val="center"/>
      </w:pPr>
      <w:r>
        <w:rPr>
          <w:rFonts w:ascii="Times New Roman" w:hAnsi="Times New Roman"/>
          <w:b w:val="false"/>
          <w:i w:val="false"/>
          <w:color w:val="000000"/>
          <w:sz w:val="14"/>
        </w:rPr>
        <w:t>[Prior to 5/12/04, see 701—Ch 210]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11—48.1</w:t>
      </w:r>
      <w:r>
        <w:rPr>
          <w:rFonts w:ascii="Times New Roman" w:hAnsi="Times New Roman"/>
          <w:b/>
          <w:i w:val="false"/>
          <w:color w:val="000000"/>
          <w:sz w:val="22"/>
        </w:rPr>
        <w:t xml:space="preserve">(8A)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administrative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administrative services.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8A.514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4053C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11—48.2</w:t>
      </w:r>
      <w:r>
        <w:rPr>
          <w:rFonts w:ascii="Times New Roman" w:hAnsi="Times New Roman"/>
          <w:b/>
          <w:i w:val="false"/>
          <w:color w:val="000000"/>
          <w:sz w:val="22"/>
        </w:rPr>
        <w:t xml:space="preserve">(8A) </w:t>
      </w:r>
      <w:r>
        <w:rPr>
          <w:rFonts w:ascii="Times New Roman" w:hAnsi="Times New Roman"/>
          <w:b/>
          <w:i w:val="false"/>
          <w:color w:val="000000"/>
          <w:sz w:val="22"/>
        </w:rPr>
        <w:t xml:space="preserve">Prepayment of expenses. </w:t>
      </w:r>
      <w:r>
        <w:rPr>
          <w:rFonts w:ascii="Times New Roman" w:hAnsi="Times New Roman"/>
          <w:b w:val="false"/>
          <w:i w:val="false"/>
          <w:color w:val="000000"/>
          <w:sz w:val="22"/>
        </w:rPr>
        <w:t>The following expenses may be prepaid without prior written approval from the department: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Contracts for software purchases, software maintenance, or other maintenance contracts which have been negotiated with a clause requiring prepayment.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Subscriptions for magazines and periodicals.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Publications.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Rental of building space, post office boxes, parking spaces, and booths (only the portion that must be prepaid to reserve a space). Documentation must be attached to the claim.</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Maintenance contracts that have been negotiated with a clause requiring prepayment.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If there is documentation attached to the claim which indicates the registration must be paid prior to the function, or there is documentation attached which indicates there is a savings of at least current general fund earning rate of the state treasurer if the registration is paid in advance.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8A.514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4053C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11—48.3</w:t>
      </w:r>
      <w:r>
        <w:rPr>
          <w:rFonts w:ascii="Times New Roman" w:hAnsi="Times New Roman"/>
          <w:b/>
          <w:i w:val="false"/>
          <w:color w:val="000000"/>
          <w:sz w:val="22"/>
        </w:rPr>
        <w:t xml:space="preserve">(8A) </w:t>
      </w:r>
      <w:r>
        <w:rPr>
          <w:rFonts w:ascii="Times New Roman" w:hAnsi="Times New Roman"/>
          <w:b/>
          <w:i w:val="false"/>
          <w:color w:val="000000"/>
          <w:sz w:val="22"/>
        </w:rPr>
        <w:t xml:space="preserve">Prepayment under special circumstances. </w:t>
      </w:r>
      <w:r>
        <w:rPr>
          <w:rFonts w:ascii="Times New Roman" w:hAnsi="Times New Roman"/>
          <w:b w:val="false"/>
          <w:i w:val="false"/>
          <w:color w:val="000000"/>
          <w:sz w:val="22"/>
        </w:rPr>
        <w:t>Advance payment on contracts is allowable in certain instances. Reimbursement of expenses should be utilized whenever possible. The time elapsing between the receipt of the money and its disbursement should be minimized as much as is administratively feasible. In certain circumstances, the grantee may lack sufficient working capital to provide the service for which the grant was made. Contractors deemed by the department to have an employee/employer relationship with the state are not eligible for advance payments. Advance payments may be made under the following guidelines.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48.3(1)</w:t>
      </w:r>
      <w:r>
        <w:rPr>
          <w:rFonts w:ascii="Times New Roman" w:hAnsi="Times New Roman"/>
          <w:b w:val="false"/>
          <w:i w:val="false"/>
          <w:color w:val="000000"/>
          <w:sz w:val="22"/>
        </w:rPr>
        <w:t> </w:t>
      </w:r>
      <w:r>
        <w:rPr>
          <w:rFonts w:ascii="Times New Roman" w:hAnsi="Times New Roman"/>
          <w:b w:val="false"/>
          <w:i w:val="false"/>
          <w:color w:val="000000"/>
          <w:sz w:val="22"/>
        </w:rPr>
        <w:t>Advance payments may be made up to one month in advance of the anticipated expenditure. This is considered to be administratively feasible on a statewide basis. Requests for advance payments in excess of one month must have the prior approval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48.3(2)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it has been determined by the state agency that the grantee lacks sufficient working capital to provide the service of the grant, the grantee may be given a two-month “working capital advance” (i.e., an advance may be made for up to two months of projected expenses). After the initial two-month “working capital advance” has been made, the grantee should submit claims for the reimbursement on a monthly basis. This should allow the grantee enough start-up funds to commence the project, while also allowing the grantee to maintain a one-month advance after the initial start-up, which parallels </w:t>
      </w:r>
      <w:hyperlink r:id="rId7">
        <w:r>
          <w:rPr>
            <w:rStyle w:val="Hyperlink"/>
            <w:rFonts w:ascii="Times New Roman" w:hAnsi="Times New Roman"/>
            <w:b w:val="false"/>
            <w:i w:val="false"/>
            <w:color w:val="000000"/>
            <w:sz w:val="22"/>
          </w:rPr>
          <w:t>subrule 48.3(1)</w:t>
        </w:r>
      </w:hyperlink>
      <w:r>
        <w:rPr>
          <w:rFonts w:ascii="Times New Roman" w:hAnsi="Times New Roman"/>
          <w:b w:val="false"/>
          <w:i w:val="false"/>
          <w:color w:val="000000"/>
          <w:sz w:val="22"/>
        </w:rPr>
        <w:t xml:space="preserve">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Documentation that indicates the grantee lacks sufficient working capital to commence the project must be attached to the initial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Documentation supporting the projected costs must be attached to the initial claim.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8A.514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4053C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11—48.4</w:t>
      </w:r>
      <w:r>
        <w:rPr>
          <w:rFonts w:ascii="Times New Roman" w:hAnsi="Times New Roman"/>
          <w:b/>
          <w:i w:val="false"/>
          <w:color w:val="000000"/>
          <w:sz w:val="22"/>
        </w:rPr>
        <w:t xml:space="preserve">(8A) </w:t>
      </w:r>
      <w:r>
        <w:rPr>
          <w:rFonts w:ascii="Times New Roman" w:hAnsi="Times New Roman"/>
          <w:b/>
          <w:i w:val="false"/>
          <w:color w:val="000000"/>
          <w:sz w:val="22"/>
        </w:rPr>
        <w:t xml:space="preserve">Prior approval for prepayment of expenses. </w:t>
      </w:r>
      <w:r>
        <w:rPr>
          <w:rFonts w:ascii="Times New Roman" w:hAnsi="Times New Roman"/>
          <w:b w:val="false"/>
          <w:i w:val="false"/>
          <w:color w:val="000000"/>
          <w:sz w:val="22"/>
        </w:rPr>
        <w:t xml:space="preserve">Any expense not specifically mentioned in </w:t>
      </w:r>
      <w:hyperlink r:id="rId9">
        <w:r>
          <w:rPr>
            <w:rStyle w:val="Hyperlink"/>
            <w:rFonts w:ascii="Times New Roman" w:hAnsi="Times New Roman"/>
            <w:b w:val="false"/>
            <w:i w:val="false"/>
            <w:color w:val="000000"/>
            <w:sz w:val="22"/>
          </w:rPr>
          <w:t>rule 11—48.2(8A)</w:t>
        </w:r>
      </w:hyperlink>
      <w:r>
        <w:rPr>
          <w:rFonts w:ascii="Times New Roman" w:hAnsi="Times New Roman"/>
          <w:b w:val="false"/>
          <w:i w:val="false"/>
          <w:color w:val="000000"/>
          <w:sz w:val="22"/>
        </w:rPr>
        <w:t xml:space="preserve"> must have prior approval to be paid in advance of receiving the good or service. Prior approval will be allowed only under the following circumstances.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If prepayment is required in order for the state to receive the good or service.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If the department can document that the state will benefit through reduced rates equal to or greater than the current general fund earning rate of the state treasurer.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
        <w:r>
          <w:rPr>
            <w:rStyle w:val="Hyperlink"/>
            <w:rFonts w:ascii="Times New Roman" w:hAnsi="Times New Roman"/>
            <w:b w:val="false"/>
            <w:i w:val="false"/>
            <w:color w:val="000000"/>
            <w:sz w:val="22"/>
          </w:rPr>
          <w:t>8A.514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4053C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10/31/96, Notice 9/11/96—published 11/20/96, effective 12/25/96]</w:t>
      </w:r>
    </w:p>
    <w:p>
      <w:pPr>
        <w:spacing w:before="0" w:after="0"/>
        <w:ind w:left="120"/>
        <w:jc w:val="center"/>
      </w:pPr>
      <w:r>
        <w:rPr>
          <w:rFonts w:ascii="Times New Roman" w:hAnsi="Times New Roman"/>
          <w:b w:val="false"/>
          <w:i w:val="false"/>
          <w:color w:val="000000"/>
          <w:sz w:val="21"/>
        </w:rPr>
        <w:t>[Filed 4/22/04, Notice 3/17/04—published 5/12/04, effective 6/16/04]</w:t>
      </w:r>
    </w:p>
    <w:p>
      <w:pPr>
        <w:spacing w:before="0" w:after="0"/>
        <w:ind w:left="120"/>
        <w:jc w:val="center"/>
      </w:pPr>
      <w:r>
        <w:rPr>
          <w:rFonts w:ascii="Times New Roman" w:hAnsi="Times New Roman"/>
          <w:b w:val="false"/>
          <w:i w:val="false"/>
          <w:color w:val="000000"/>
          <w:sz w:val="21"/>
        </w:rPr>
        <w:t>[Filed ARC 4053C</w:t>
      </w:r>
      <w:r>
        <w:rPr>
          <w:rFonts w:ascii="Times New Roman" w:hAnsi="Times New Roman"/>
          <w:b w:val="false"/>
          <w:i w:val="false"/>
          <w:color w:val="000000"/>
          <w:sz w:val="21"/>
        </w:rPr>
        <w:t xml:space="preserve"> (Notice ARC 3937C, IAB 8/15/18)</w:t>
      </w:r>
      <w:r>
        <w:rPr>
          <w:rFonts w:ascii="Times New Roman" w:hAnsi="Times New Roman"/>
          <w:b w:val="false"/>
          <w:i w:val="false"/>
          <w:color w:val="000000"/>
          <w:sz w:val="21"/>
        </w:rPr>
        <w:t>, IAB 10/10/18, effective 11/14/18]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A.514.pdf" Type="http://schemas.openxmlformats.org/officeDocument/2006/relationships/hyperlink" Id="rId5"/>
    <Relationship TargetMode="External" Target="https://www.legis.iowa.gov/docs/ico/chapter/8A.514.pdf" Type="http://schemas.openxmlformats.org/officeDocument/2006/relationships/hyperlink" Id="rId6"/>
    <Relationship TargetMode="External" Target="https://www.legis.iowa.gov/docs/iac/rule/11.48.3.pdf" Type="http://schemas.openxmlformats.org/officeDocument/2006/relationships/hyperlink" Id="rId7"/>
    <Relationship TargetMode="External" Target="https://www.legis.iowa.gov/docs/ico/chapter/8A.514.pdf" Type="http://schemas.openxmlformats.org/officeDocument/2006/relationships/hyperlink" Id="rId8"/>
    <Relationship TargetMode="External" Target="https://www.legis.iowa.gov/docs/iac/rule/11.48.2.pdf" Type="http://schemas.openxmlformats.org/officeDocument/2006/relationships/hyperlink" Id="rId9"/>
    <Relationship TargetMode="External" Target="https://www.legis.iowa.gov/docs/ico/chapter/8A.514.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