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PAYROLL DEDUCTION FOR ADDITIONAL INSURANCE COVERAGE</w:t>
      </w:r>
    </w:p>
    <w:p>
      <w:pPr>
        <w:spacing w:before="0" w:after="0"/>
        <w:ind w:left="120"/>
        <w:jc w:val="center"/>
      </w:pPr>
      <w:r>
        <w:rPr>
          <w:rFonts w:ascii="Times New Roman" w:hAnsi="Times New Roman"/>
          <w:b w:val="false"/>
          <w:i w:val="false"/>
          <w:color w:val="000000"/>
          <w:sz w:val="14"/>
        </w:rPr>
        <w:t>[Prior to 7/21/04, see 701—Ch 206]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11—46.1</w:t>
      </w:r>
      <w:r>
        <w:rPr>
          <w:rFonts w:ascii="Times New Roman" w:hAnsi="Times New Roman"/>
          <w:b/>
          <w:i w:val="false"/>
          <w:color w:val="000000"/>
          <w:sz w:val="22"/>
        </w:rPr>
        <w:t xml:space="preserve">(70A)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state of Iowa may grant to qualified insurance companies the right to receive insurance premiums from state employees through payroll deduction upon presentation of insurance deduction authorization forms signed by state employees.</w:t>
      </w:r>
    </w:p>
    <w:p>
      <w:pPr>
        <w:spacing w:before="0" w:after="0"/>
        <w:ind w:left="120"/>
        <w:jc w:val="both"/>
      </w:pPr>
      <w:r>
        <w:rPr>
          <w:rFonts w:ascii="Times New Roman" w:hAnsi="Times New Roman"/>
          <w:b/>
          <w:i w:val="false"/>
          <w:color w:val="000000"/>
          <w:sz w:val="22"/>
        </w:rPr>
        <w:t>11—46.2</w:t>
      </w:r>
      <w:r>
        <w:rPr>
          <w:rFonts w:ascii="Times New Roman" w:hAnsi="Times New Roman"/>
          <w:b/>
          <w:i w:val="false"/>
          <w:color w:val="000000"/>
          <w:sz w:val="22"/>
        </w:rPr>
        <w:t xml:space="preserve">(70A)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nontemporary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“Payroll system”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of Iowa centralized.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Department of transportation.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State University of Science and Technology.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University of Iowa.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University of Northern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Iowa Braille and Sight Saving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Iowa School for the Deaf.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Iowa state fair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11—46.3</w:t>
      </w:r>
      <w:r>
        <w:rPr>
          <w:rFonts w:ascii="Times New Roman" w:hAnsi="Times New Roman"/>
          <w:b/>
          <w:i w:val="false"/>
          <w:color w:val="000000"/>
          <w:sz w:val="22"/>
        </w:rPr>
        <w:t xml:space="preserve">(70A) </w:t>
      </w:r>
      <w:r>
        <w:rPr>
          <w:rFonts w:ascii="Times New Roman" w:hAnsi="Times New Roman"/>
          <w:b/>
          <w:i w:val="false"/>
          <w:color w:val="000000"/>
          <w:sz w:val="22"/>
        </w:rPr>
        <w:t xml:space="preserve">Insurance company qualifications. </w:t>
      </w:r>
      <w:r>
        <w:rPr>
          <w:rFonts w:ascii="Times New Roman" w:hAnsi="Times New Roman"/>
          <w:b w:val="false"/>
          <w:i w:val="false"/>
          <w:color w:val="000000"/>
          <w:sz w:val="22"/>
        </w:rPr>
        <w:t>To qualify to receive insurance premiums from state employees through payroll deductions, an insurance company must be authorized to do business in Iowa and must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participating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company must have and maintain the participation of 500 or more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5">
        <w:r>
          <w:rPr>
            <w:rStyle w:val="Hyperlink"/>
            <w:rFonts w:ascii="Times New Roman" w:hAnsi="Times New Roman"/>
            <w:b w:val="false"/>
            <w:i w:val="false"/>
            <w:color w:val="000000"/>
            <w:sz w:val="22"/>
          </w:rPr>
          <w:t>subrule 46.3(1)</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“a,” </w:t>
      </w:r>
      <w:r>
        <w:rPr>
          <w:rFonts w:ascii="Times New Roman" w:hAnsi="Times New Roman"/>
          <w:b w:val="false"/>
          <w:i w:val="false"/>
          <w:color w:val="000000"/>
          <w:sz w:val="22"/>
        </w:rPr>
        <w:t xml:space="preserve">during the first 12 months of this program an insurance company is considered qualified if it received insurance premium payments through payroll deductions under repealed Iowa Code section </w:t>
      </w:r>
      <w:hyperlink r:id="rId6">
        <w:r>
          <w:rPr>
            <w:rStyle w:val="Hyperlink"/>
            <w:rFonts w:ascii="Times New Roman" w:hAnsi="Times New Roman"/>
            <w:b w:val="false"/>
            <w:i w:val="false"/>
            <w:color w:val="000000"/>
            <w:sz w:val="22"/>
          </w:rPr>
          <w:t>70A.17</w:t>
        </w:r>
      </w:hyperlink>
      <w:r>
        <w:rPr>
          <w:rFonts w:ascii="Times New Roman" w:hAnsi="Times New Roman"/>
          <w:b w:val="false"/>
          <w:i w:val="false"/>
          <w:color w:val="000000"/>
          <w:sz w:val="22"/>
        </w:rPr>
        <w:t xml:space="preserve">. All such companies may continue in the program during the first 12 months following the reinstitution of this payroll deduction program. By the end of the twelfth month after the reinstitution of this program, all companies must have and maintain a total of at least 500 participating employees in order to continue participation. Following the end of the twelfth month of participation of an insurance company under this subrule, company participation may be terminated pursuant to </w:t>
      </w:r>
      <w:hyperlink r:id="rId7">
        <w:r>
          <w:rPr>
            <w:rStyle w:val="Hyperlink"/>
            <w:rFonts w:ascii="Times New Roman" w:hAnsi="Times New Roman"/>
            <w:b w:val="false"/>
            <w:i w:val="false"/>
            <w:color w:val="000000"/>
            <w:sz w:val="22"/>
          </w:rPr>
          <w:t>rule 11—46.13(70A)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certifying the required 500 state employees, an insurance company shall not count state employees enrolled in insurance programs authorized by existing Iowa Code sections, by collective bargaining contracts, or by the appropriate governing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color w:val="000000"/>
          <w:sz w:val="22"/>
        </w:rPr>
        <w:t xml:space="preserve">Qualification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w:t>
      </w:r>
      <w:r>
        <w:rPr>
          <w:rFonts w:ascii="Times New Roman" w:hAnsi="Times New Roman"/>
          <w:b w:val="false"/>
          <w:i w:val="false"/>
          <w:color w:val="000000"/>
          <w:sz w:val="22"/>
        </w:rPr>
        <w:t>The company providing the insurance must enter into a written agreement with the state delineating each party’s rights and responsibilities. At the same time, the company must provide a template of the company’s enrollment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insurance premium payroll deductions for qualified insurance companies must be authorized on forms approved by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Payroll deduction requests. </w:t>
      </w:r>
      <w:r>
        <w:rPr>
          <w:rFonts w:ascii="Times New Roman" w:hAnsi="Times New Roman"/>
          <w:b w:val="false"/>
          <w:i w:val="false"/>
          <w:color w:val="000000"/>
          <w:sz w:val="22"/>
        </w:rPr>
        <w:t>The state employee must make request for the payroll deduction for insurance premiums in writing to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Participating employee list. </w:t>
      </w:r>
      <w:r>
        <w:rPr>
          <w:rFonts w:ascii="Times New Roman" w:hAnsi="Times New Roman"/>
          <w:b w:val="false"/>
          <w:i w:val="false"/>
          <w:color w:val="000000"/>
          <w:sz w:val="22"/>
        </w:rPr>
        <w:t>A company seeking to be qualified must supply the program administrator with a certified list of all state employees for whom insurance premium payroll deductions are sought. The list shall contain, according to affected payroll systems, the names, in alphabetical order, and the social security numbers of state employees for whom insurance premium payroll deductions are being requested and the name of the type of insurance being requested.</w:t>
      </w:r>
    </w:p>
    <w:p>
      <w:pPr>
        <w:spacing w:before="210" w:after="0"/>
        <w:ind w:left="120"/>
        <w:jc w:val="both"/>
      </w:pPr>
      <w:r>
        <w:rPr>
          <w:rFonts w:ascii="Times New Roman" w:hAnsi="Times New Roman"/>
          <w:b/>
          <w:i w:val="false"/>
          <w:color w:val="000000"/>
          <w:sz w:val="22"/>
        </w:rPr>
        <w:t>11—46.4</w:t>
      </w:r>
      <w:r>
        <w:rPr>
          <w:rFonts w:ascii="Times New Roman" w:hAnsi="Times New Roman"/>
          <w:b/>
          <w:i w:val="false"/>
          <w:color w:val="000000"/>
          <w:sz w:val="22"/>
        </w:rPr>
        <w:t xml:space="preserve">(70A) </w:t>
      </w:r>
      <w:r>
        <w:rPr>
          <w:rFonts w:ascii="Times New Roman" w:hAnsi="Times New Roman"/>
          <w:b/>
          <w:i w:val="false"/>
          <w:color w:val="000000"/>
          <w:sz w:val="22"/>
        </w:rPr>
        <w:t xml:space="preserve">Noneligible types of insurance. </w:t>
      </w:r>
      <w:r>
        <w:rPr>
          <w:rFonts w:ascii="Times New Roman" w:hAnsi="Times New Roman"/>
          <w:b w:val="false"/>
          <w:i w:val="false"/>
          <w:color w:val="000000"/>
          <w:sz w:val="22"/>
        </w:rPr>
        <w:t>Deductions from salaries and wages will not be authorized for any type of insurance that is not approved by the program administrator or which is being provided for by the state, such as: health and dental; term life; and long-term sickness or disability. No insurance coverage offering a mutual fund or annuity investment component will be allowed.</w:t>
      </w:r>
    </w:p>
    <w:p>
      <w:pPr>
        <w:spacing w:before="210" w:after="0"/>
        <w:ind w:left="120"/>
        <w:jc w:val="both"/>
      </w:pPr>
      <w:r>
        <w:rPr>
          <w:rFonts w:ascii="Times New Roman" w:hAnsi="Times New Roman"/>
          <w:b/>
          <w:i w:val="false"/>
          <w:color w:val="000000"/>
          <w:sz w:val="22"/>
        </w:rPr>
        <w:t>11—46.5</w:t>
      </w:r>
      <w:r>
        <w:rPr>
          <w:rFonts w:ascii="Times New Roman" w:hAnsi="Times New Roman"/>
          <w:b/>
          <w:i w:val="false"/>
          <w:color w:val="000000"/>
          <w:sz w:val="22"/>
        </w:rPr>
        <w:t xml:space="preserve">(70A) </w:t>
      </w:r>
      <w:r>
        <w:rPr>
          <w:rFonts w:ascii="Times New Roman" w:hAnsi="Times New Roman"/>
          <w:b/>
          <w:i w:val="false"/>
          <w:color w:val="000000"/>
          <w:sz w:val="22"/>
        </w:rPr>
        <w:t xml:space="preserve">Deduction limits and frequency. </w:t>
      </w:r>
      <w:r>
        <w:rPr>
          <w:rFonts w:ascii="Times New Roman" w:hAnsi="Times New Roman"/>
          <w:b w:val="false"/>
          <w:i w:val="false"/>
          <w:color w:val="000000"/>
          <w:sz w:val="22"/>
        </w:rPr>
        <w:t>Authorized deductions must be a minimum of $1. The frequency of the deductions must be compatible with the affected payroll system. All payroll deductions must be made in equal amounts on a monthly basis or be made on a basis compatible with the payroll system. The deduction will be made only for the amount of insurance premiums and shall not include amounts for any other purpose, such as organizational dues or membership fees.</w:t>
      </w:r>
    </w:p>
    <w:p>
      <w:pPr>
        <w:spacing w:before="210" w:after="0"/>
        <w:ind w:left="120"/>
        <w:jc w:val="both"/>
      </w:pPr>
      <w:r>
        <w:rPr>
          <w:rFonts w:ascii="Times New Roman" w:hAnsi="Times New Roman"/>
          <w:b/>
          <w:i w:val="false"/>
          <w:color w:val="000000"/>
          <w:sz w:val="22"/>
        </w:rPr>
        <w:t>11—46.6</w:t>
      </w:r>
      <w:r>
        <w:rPr>
          <w:rFonts w:ascii="Times New Roman" w:hAnsi="Times New Roman"/>
          <w:b/>
          <w:i w:val="false"/>
          <w:color w:val="000000"/>
          <w:sz w:val="22"/>
        </w:rPr>
        <w:t xml:space="preserve">(70A) </w:t>
      </w:r>
      <w:r>
        <w:rPr>
          <w:rFonts w:ascii="Times New Roman" w:hAnsi="Times New Roman"/>
          <w:b/>
          <w:i w:val="false"/>
          <w:color w:val="000000"/>
          <w:sz w:val="22"/>
        </w:rPr>
        <w:t xml:space="preserve">Distribution of literature. </w:t>
      </w:r>
      <w:r>
        <w:rPr>
          <w:rFonts w:ascii="Times New Roman" w:hAnsi="Times New Roman"/>
          <w:b w:val="false"/>
          <w:i w:val="false"/>
          <w:color w:val="000000"/>
          <w:sz w:val="22"/>
        </w:rPr>
        <w:t>The state of Iowa will not distribute any literature soliciting insurance premium deductions or literature pertaining to any other matter on behalf of any company.</w:t>
      </w:r>
    </w:p>
    <w:p>
      <w:pPr>
        <w:spacing w:before="210" w:after="0"/>
        <w:ind w:left="120"/>
        <w:jc w:val="both"/>
      </w:pPr>
      <w:r>
        <w:rPr>
          <w:rFonts w:ascii="Times New Roman" w:hAnsi="Times New Roman"/>
          <w:b/>
          <w:i w:val="false"/>
          <w:color w:val="000000"/>
          <w:sz w:val="22"/>
        </w:rPr>
        <w:t>11—46.7</w:t>
      </w:r>
      <w:r>
        <w:rPr>
          <w:rFonts w:ascii="Times New Roman" w:hAnsi="Times New Roman"/>
          <w:b/>
          <w:i w:val="false"/>
          <w:color w:val="000000"/>
          <w:sz w:val="22"/>
        </w:rPr>
        <w:t xml:space="preserve">(70A) </w:t>
      </w:r>
      <w:r>
        <w:rPr>
          <w:rFonts w:ascii="Times New Roman" w:hAnsi="Times New Roman"/>
          <w:b/>
          <w:i w:val="false"/>
          <w:color w:val="000000"/>
          <w:sz w:val="22"/>
        </w:rPr>
        <w:t xml:space="preserve">Number of contributions. </w:t>
      </w:r>
      <w:r>
        <w:rPr>
          <w:rFonts w:ascii="Times New Roman" w:hAnsi="Times New Roman"/>
          <w:b w:val="false"/>
          <w:i w:val="false"/>
          <w:color w:val="000000"/>
          <w:sz w:val="22"/>
        </w:rPr>
        <w:t>Each payroll system must allow each employee the opportunity to make insurance premium deductions to any combination of up to a maximum of four companies.</w:t>
      </w:r>
    </w:p>
    <w:p>
      <w:pPr>
        <w:spacing w:before="210" w:after="0"/>
        <w:ind w:left="120"/>
        <w:jc w:val="both"/>
      </w:pPr>
      <w:r>
        <w:rPr>
          <w:rFonts w:ascii="Times New Roman" w:hAnsi="Times New Roman"/>
          <w:b/>
          <w:i w:val="false"/>
          <w:color w:val="000000"/>
          <w:sz w:val="22"/>
        </w:rPr>
        <w:t>11—46.8</w:t>
      </w:r>
      <w:r>
        <w:rPr>
          <w:rFonts w:ascii="Times New Roman" w:hAnsi="Times New Roman"/>
          <w:b/>
          <w:i w:val="false"/>
          <w:color w:val="000000"/>
          <w:sz w:val="22"/>
        </w:rPr>
        <w:t xml:space="preserve">(70A) </w:t>
      </w:r>
      <w:r>
        <w:rPr>
          <w:rFonts w:ascii="Times New Roman" w:hAnsi="Times New Roman"/>
          <w:b/>
          <w:i w:val="false"/>
          <w:color w:val="000000"/>
          <w:sz w:val="22"/>
        </w:rPr>
        <w:t xml:space="preserve">Cash contributions. </w:t>
      </w:r>
      <w:r>
        <w:rPr>
          <w:rFonts w:ascii="Times New Roman" w:hAnsi="Times New Roman"/>
          <w:b w:val="false"/>
          <w:i w:val="false"/>
          <w:color w:val="000000"/>
          <w:sz w:val="22"/>
        </w:rPr>
        <w:t>No cash contributions will be accepted or administered through the payroll process or system.</w:t>
      </w:r>
    </w:p>
    <w:p>
      <w:pPr>
        <w:spacing w:before="210" w:after="0"/>
        <w:ind w:left="120"/>
        <w:jc w:val="both"/>
      </w:pPr>
      <w:r>
        <w:rPr>
          <w:rFonts w:ascii="Times New Roman" w:hAnsi="Times New Roman"/>
          <w:b/>
          <w:i w:val="false"/>
          <w:color w:val="000000"/>
          <w:sz w:val="22"/>
        </w:rPr>
        <w:t>11—46.9</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Terminations. </w:t>
      </w:r>
      <w:r>
        <w:rPr>
          <w:rFonts w:ascii="Times New Roman" w:hAnsi="Times New Roman"/>
          <w:b w:val="false"/>
          <w:i w:val="false"/>
          <w:color w:val="000000"/>
          <w:sz w:val="22"/>
        </w:rPr>
        <w:t>An employee wishing to terminate the deduction shall be required to give 30 days’ notice in writing to the appointing authority of the department in which the employee works or, in the case of regents institutions, to the officer in charge of the payroll system through which the employee is paid.</w:t>
      </w:r>
    </w:p>
    <w:p>
      <w:pPr>
        <w:spacing w:before="210" w:after="0"/>
        <w:ind w:left="120"/>
        <w:jc w:val="both"/>
      </w:pPr>
      <w:r>
        <w:rPr>
          <w:rFonts w:ascii="Times New Roman" w:hAnsi="Times New Roman"/>
          <w:b/>
          <w:i w:val="false"/>
          <w:color w:val="000000"/>
          <w:sz w:val="22"/>
        </w:rPr>
        <w:t>11—46.10</w:t>
      </w:r>
      <w:r>
        <w:rPr>
          <w:rFonts w:ascii="Times New Roman" w:hAnsi="Times New Roman"/>
          <w:b/>
          <w:i w:val="false"/>
          <w:color w:val="000000"/>
          <w:sz w:val="22"/>
        </w:rPr>
        <w:t xml:space="preserve">(70A) </w:t>
      </w:r>
      <w:r>
        <w:rPr>
          <w:rFonts w:ascii="Times New Roman" w:hAnsi="Times New Roman"/>
          <w:b/>
          <w:i w:val="false"/>
          <w:color w:val="000000"/>
          <w:sz w:val="22"/>
        </w:rPr>
        <w:t xml:space="preserve">Remittance. </w:t>
      </w:r>
      <w:r>
        <w:rPr>
          <w:rFonts w:ascii="Times New Roman" w:hAnsi="Times New Roman"/>
          <w:b w:val="false"/>
          <w:i w:val="false"/>
          <w:color w:val="000000"/>
          <w:sz w:val="22"/>
        </w:rPr>
        <w:t>The officer in charge of the payroll system must send the monthly payment to each company within 20 working days after the last pay date of each calendar month. Support documentation is limited to a listing of employees and the amount deducted for each such employee.</w:t>
      </w:r>
    </w:p>
    <w:p>
      <w:pPr>
        <w:spacing w:before="210" w:after="0"/>
        <w:ind w:left="120"/>
        <w:jc w:val="both"/>
      </w:pPr>
      <w:r>
        <w:rPr>
          <w:rFonts w:ascii="Times New Roman" w:hAnsi="Times New Roman"/>
          <w:b/>
          <w:i w:val="false"/>
          <w:color w:val="000000"/>
          <w:sz w:val="22"/>
        </w:rPr>
        <w:t>11—46.11</w:t>
      </w:r>
      <w:r>
        <w:rPr>
          <w:rFonts w:ascii="Times New Roman" w:hAnsi="Times New Roman"/>
          <w:b/>
          <w:i w:val="false"/>
          <w:color w:val="000000"/>
          <w:sz w:val="22"/>
        </w:rPr>
        <w:t xml:space="preserve">(70A) </w:t>
      </w:r>
      <w:r>
        <w:rPr>
          <w:rFonts w:ascii="Times New Roman" w:hAnsi="Times New Roman"/>
          <w:b/>
          <w:i w:val="false"/>
          <w:color w:val="000000"/>
          <w:sz w:val="22"/>
        </w:rPr>
        <w:t xml:space="preserve">Unapproved solicitation prohibited. </w:t>
      </w:r>
      <w:r>
        <w:rPr>
          <w:rFonts w:ascii="Times New Roman" w:hAnsi="Times New Roman"/>
          <w:b w:val="false"/>
          <w:i w:val="false"/>
          <w:color w:val="000000"/>
          <w:sz w:val="22"/>
        </w:rPr>
        <w:t>Salespersons or agents must follow all applicable rules prohibiting solicitation on state property. The designated company representative may schedule presentations of marketing and informational materials, provided the program administrator has given written approval of said materials and applicable rules are followed concerning approval of the date, time, and location of such presentations. Further, use of employees’ state email addresses or work addresses to mass distribute marketing materials is prohibited.</w:t>
      </w:r>
    </w:p>
    <w:p>
      <w:pPr>
        <w:spacing w:before="0" w:after="0"/>
        <w:ind w:left="120"/>
        <w:jc w:val="both"/>
      </w:pPr>
      <w:r>
        <w:rPr>
          <w:rFonts w:ascii="Times New Roman" w:hAnsi="Times New Roman"/>
          <w:b/>
          <w:i w:val="false"/>
          <w:color w:val="000000"/>
          <w:sz w:val="22"/>
        </w:rPr>
        <w:t>11—46.12</w:t>
      </w:r>
      <w:r>
        <w:rPr>
          <w:rFonts w:ascii="Times New Roman" w:hAnsi="Times New Roman"/>
          <w:b/>
          <w:i w:val="false"/>
          <w:color w:val="000000"/>
          <w:sz w:val="22"/>
        </w:rPr>
        <w:t xml:space="preserve">(70A) </w:t>
      </w:r>
      <w:r>
        <w:rPr>
          <w:rFonts w:ascii="Times New Roman" w:hAnsi="Times New Roman"/>
          <w:b/>
          <w:i w:val="false"/>
          <w:color w:val="000000"/>
          <w:sz w:val="22"/>
        </w:rPr>
        <w:t xml:space="preserve">Annual review of participating employees. </w:t>
      </w:r>
      <w:r>
        <w:rPr>
          <w:rFonts w:ascii="Times New Roman" w:hAnsi="Times New Roman"/>
          <w:b w:val="false"/>
          <w:i w:val="false"/>
          <w:color w:val="000000"/>
          <w:sz w:val="22"/>
        </w:rPr>
        <w:t xml:space="preserve">During September of each year, each participating company must supply the program administrator with a certified list of all state employees who have an insurance premium deduction through each payroll system. The list must contain the same information as required in </w:t>
      </w:r>
      <w:hyperlink r:id="rId8">
        <w:r>
          <w:rPr>
            <w:rStyle w:val="Hyperlink"/>
            <w:rFonts w:ascii="Times New Roman" w:hAnsi="Times New Roman"/>
            <w:b w:val="false"/>
            <w:i w:val="false"/>
            <w:color w:val="000000"/>
            <w:sz w:val="22"/>
          </w:rPr>
          <w:t>46.3(2)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will be used by the state to determine if the company has 500 employees participating in the program.</w:t>
      </w:r>
    </w:p>
    <w:p>
      <w:pPr>
        <w:spacing w:before="0" w:after="0"/>
        <w:ind w:left="120"/>
        <w:jc w:val="both"/>
      </w:pPr>
      <w:r>
        <w:rPr>
          <w:rFonts w:ascii="Times New Roman" w:hAnsi="Times New Roman"/>
          <w:b w:val="false"/>
          <w:i w:val="false"/>
          <w:color w:val="000000"/>
          <w:sz w:val="22"/>
        </w:rPr>
        <w:t>If the minimum qualification is not being maintained, written notification will be provided to the company, giving the company 90 days to meet the minimum qualification. If, at the end of the 90-day period, the minimum qualification has not been attained, the insurance premium deduction for all participating employees in that company will be terminated.</w:t>
      </w:r>
    </w:p>
    <w:p>
      <w:pPr>
        <w:spacing w:before="0" w:after="0"/>
        <w:ind w:left="120"/>
        <w:jc w:val="both"/>
      </w:pPr>
      <w:r>
        <w:rPr>
          <w:rFonts w:ascii="Times New Roman" w:hAnsi="Times New Roman"/>
          <w:b w:val="false"/>
          <w:i w:val="false"/>
          <w:color w:val="000000"/>
          <w:sz w:val="22"/>
        </w:rPr>
        <w:t>The program administrator will provide a copy of the certified list for each payroll system to the officer in charge of that payroll system for verification of employee status.</w:t>
      </w:r>
    </w:p>
    <w:p>
      <w:pPr>
        <w:spacing w:before="210" w:after="0"/>
        <w:ind w:left="120"/>
        <w:jc w:val="both"/>
      </w:pPr>
      <w:r>
        <w:rPr>
          <w:rFonts w:ascii="Times New Roman" w:hAnsi="Times New Roman"/>
          <w:b/>
          <w:i w:val="false"/>
          <w:color w:val="000000"/>
          <w:sz w:val="22"/>
        </w:rPr>
        <w:t>11—46.13</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 of company participation. </w:t>
      </w:r>
      <w:r>
        <w:rPr>
          <w:rFonts w:ascii="Times New Roman" w:hAnsi="Times New Roman"/>
          <w:b w:val="false"/>
          <w:i w:val="false"/>
          <w:color w:val="000000"/>
          <w:sz w:val="22"/>
        </w:rPr>
        <w:t>If the program administrator finds a company is not complying with administrative rules in this chapter or the agreement made with the state, or if the company is not operating in a manner the program administrator determines to be in the best interest of the state or its employees, the state reserves the right to terminate an insurance company’s participation in the program.</w:t>
      </w:r>
    </w:p>
    <w:p>
      <w:pPr>
        <w:spacing w:before="210" w:after="0"/>
        <w:ind w:left="120"/>
        <w:jc w:val="both"/>
      </w:pPr>
      <w:r>
        <w:rPr>
          <w:rFonts w:ascii="Times New Roman" w:hAnsi="Times New Roman"/>
          <w:b/>
          <w:i w:val="false"/>
          <w:color w:val="000000"/>
          <w:sz w:val="22"/>
        </w:rPr>
        <w:t>11—46.14</w:t>
      </w:r>
      <w:r>
        <w:rPr>
          <w:rFonts w:ascii="Times New Roman" w:hAnsi="Times New Roman"/>
          <w:b/>
          <w:i w:val="false"/>
          <w:color w:val="000000"/>
          <w:sz w:val="22"/>
        </w:rPr>
        <w:t xml:space="preserve">(70A) </w:t>
      </w:r>
      <w:r>
        <w:rPr>
          <w:rFonts w:ascii="Times New Roman" w:hAnsi="Times New Roman"/>
          <w:b/>
          <w:i w:val="false"/>
          <w:color w:val="000000"/>
          <w:sz w:val="22"/>
        </w:rPr>
        <w:t xml:space="preserve">Reinstatement of company participation. </w:t>
      </w:r>
      <w:r>
        <w:rPr>
          <w:rFonts w:ascii="Times New Roman" w:hAnsi="Times New Roman"/>
          <w:b w:val="false"/>
          <w:i w:val="false"/>
          <w:color w:val="000000"/>
          <w:sz w:val="22"/>
        </w:rPr>
        <w:t>A company that has been terminated from participation in the payroll deduction program may be reinstated when the company has again met program qualifications as set forth in this chapter.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70A.17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6/29/84, Notice 5/9/84—published 7/18/84, effective 9/22/84]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4/26/90, Notice 3/21/90—published 5/16/90, effective 6/20/90]</w:t>
      </w:r>
    </w:p>
    <w:p>
      <w:pPr>
        <w:spacing w:before="0" w:after="0"/>
        <w:ind w:left="120"/>
        <w:jc w:val="center"/>
      </w:pPr>
      <w:r>
        <w:rPr>
          <w:rFonts w:ascii="Times New Roman" w:hAnsi="Times New Roman"/>
          <w:b w:val="false"/>
          <w:i w:val="false"/>
          <w:color w:val="000000"/>
          <w:sz w:val="21"/>
        </w:rPr>
        <w:t>[Filed 8/2/91, Notice 6/26/91—published 8/21/91, effective 9/25/91]</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7/2/04, Notice 5/26/04—published 7/21/04, effective 8/25/04]</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46.3.pdf" Type="http://schemas.openxmlformats.org/officeDocument/2006/relationships/hyperlink" Id="rId5"/>
    <Relationship TargetMode="External" Target="https://www.legis.iowa.gov/docs/ico/chapter/70A.17.pdf" Type="http://schemas.openxmlformats.org/officeDocument/2006/relationships/hyperlink" Id="rId6"/>
    <Relationship TargetMode="External" Target="https://www.legis.iowa.gov/docs/iac/rule/11.46.13.pdf" Type="http://schemas.openxmlformats.org/officeDocument/2006/relationships/hyperlink" Id="rId7"/>
    <Relationship TargetMode="External" Target="https://www.legis.iowa.gov/docs/iac/rule/11.46.3.pdf" Type="http://schemas.openxmlformats.org/officeDocument/2006/relationships/hyperlink" Id="rId8"/>
    <Relationship TargetMode="External" Target="https://www.legis.iowa.gov/docs/ico/chapter/70A.1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