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PROFESSIONAL/TRADE DUES DEDUCTIONS</w:t>
      </w:r>
    </w:p>
    <w:p>
      <w:pPr>
        <w:spacing w:before="0" w:after="0"/>
        <w:ind w:left="120"/>
        <w:jc w:val="center"/>
      </w:pPr>
      <w:r>
        <w:rPr>
          <w:rFonts w:ascii="Times New Roman" w:hAnsi="Times New Roman"/>
          <w:b w:val="false"/>
          <w:i w:val="false"/>
          <w:color w:val="000000"/>
          <w:sz w:val="14"/>
        </w:rPr>
        <w:t>[Prior to 5/12/04, see 701—Ch 204]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11—44.1</w:t>
      </w:r>
      <w:r>
        <w:rPr>
          <w:rFonts w:ascii="Times New Roman" w:hAnsi="Times New Roman"/>
          <w:b/>
          <w:i w:val="false"/>
          <w:color w:val="000000"/>
          <w:sz w:val="22"/>
        </w:rPr>
        <w:t xml:space="preserve">(70A)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state of Iowa may grant eligible professional/trade associations the right to receive dues deductions from state employees through payroll deduction upon presentation of dues deduction authorization forms signed by state employees.</w:t>
      </w:r>
    </w:p>
    <w:p>
      <w:pPr>
        <w:spacing w:before="0" w:after="0"/>
        <w:ind w:left="120"/>
        <w:jc w:val="both"/>
      </w:pPr>
      <w:r>
        <w:rPr>
          <w:rFonts w:ascii="Times New Roman" w:hAnsi="Times New Roman"/>
          <w:b/>
          <w:i w:val="false"/>
          <w:color w:val="000000"/>
          <w:sz w:val="22"/>
        </w:rPr>
        <w:t>11—44.2</w:t>
      </w:r>
      <w:r>
        <w:rPr>
          <w:rFonts w:ascii="Times New Roman" w:hAnsi="Times New Roman"/>
          <w:b/>
          <w:i w:val="false"/>
          <w:color w:val="000000"/>
          <w:sz w:val="22"/>
        </w:rPr>
        <w:t xml:space="preserve">(70A) </w:t>
      </w:r>
      <w:r>
        <w:rPr>
          <w:rFonts w:ascii="Times New Roman" w:hAnsi="Times New Roman"/>
          <w:b/>
          <w:i w:val="false"/>
          <w:color w:val="000000"/>
          <w:sz w:val="22"/>
        </w:rPr>
        <w:t xml:space="preserve">Qualifications. </w:t>
      </w:r>
      <w:r>
        <w:rPr>
          <w:rFonts w:ascii="Times New Roman" w:hAnsi="Times New Roman"/>
          <w:b w:val="false"/>
          <w:i w:val="false"/>
          <w:color w:val="000000"/>
          <w:sz w:val="22"/>
        </w:rPr>
        <w:t>To qualify to receive dues deductions, an association must have and may be required to maintain 100 members or more who are state officers or employees participating in either the centralized payroll system or the department of transportation payroll system. For purposes of meeting the minimum requirements, the association cannot count the enrollment of state officers or employees participating in similar programs that have been authorized by existing Iowa Code sections, by collective bargaining contracts, or by the appropriate governing authority. An association seeking to be qualified must supply officials in charge of each affected payroll system with an alphabetized, certified list of the state employees and their social security numbers for whom dues deductions are being requested. The type of dues being requested and the amount and frequency of the deduction must also be noted.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11—44.3</w:t>
      </w:r>
      <w:r>
        <w:rPr>
          <w:rFonts w:ascii="Times New Roman" w:hAnsi="Times New Roman"/>
          <w:b/>
          <w:i w:val="false"/>
          <w:color w:val="000000"/>
          <w:sz w:val="22"/>
        </w:rPr>
        <w:t xml:space="preserve">(70A) </w:t>
      </w:r>
      <w:r>
        <w:rPr>
          <w:rFonts w:ascii="Times New Roman" w:hAnsi="Times New Roman"/>
          <w:b/>
          <w:i w:val="false"/>
          <w:color w:val="000000"/>
          <w:sz w:val="22"/>
        </w:rPr>
        <w:t xml:space="preserve">Forms. </w:t>
      </w:r>
      <w:r>
        <w:rPr>
          <w:rFonts w:ascii="Times New Roman" w:hAnsi="Times New Roman"/>
          <w:b w:val="false"/>
          <w:i w:val="false"/>
          <w:color w:val="000000"/>
          <w:sz w:val="22"/>
        </w:rPr>
        <w:t>The administration of dues deductions for qualified professional/trade associations must be done on authorization forms approved by the official in charge of each payroll system.</w:t>
      </w:r>
    </w:p>
    <w:p>
      <w:pPr>
        <w:spacing w:before="210" w:after="0"/>
        <w:ind w:left="120"/>
        <w:jc w:val="both"/>
      </w:pPr>
      <w:r>
        <w:rPr>
          <w:rFonts w:ascii="Times New Roman" w:hAnsi="Times New Roman"/>
          <w:b/>
          <w:i w:val="false"/>
          <w:color w:val="000000"/>
          <w:sz w:val="22"/>
        </w:rPr>
        <w:t>11—44.4</w:t>
      </w:r>
      <w:r>
        <w:rPr>
          <w:rFonts w:ascii="Times New Roman" w:hAnsi="Times New Roman"/>
          <w:b/>
          <w:i w:val="false"/>
          <w:color w:val="000000"/>
          <w:sz w:val="22"/>
        </w:rPr>
        <w:t xml:space="preserve">(70A) </w:t>
      </w:r>
      <w:r>
        <w:rPr>
          <w:rFonts w:ascii="Times New Roman" w:hAnsi="Times New Roman"/>
          <w:b/>
          <w:i w:val="false"/>
          <w:color w:val="000000"/>
          <w:sz w:val="22"/>
        </w:rPr>
        <w:t xml:space="preserve">Deduction limits and frequency. </w:t>
      </w:r>
      <w:r>
        <w:rPr>
          <w:rFonts w:ascii="Times New Roman" w:hAnsi="Times New Roman"/>
          <w:b w:val="false"/>
          <w:i w:val="false"/>
          <w:color w:val="000000"/>
          <w:sz w:val="22"/>
        </w:rPr>
        <w:t>Authorized deductions must be at least $1. All payroll deductions must be made in equal amounts on a monthly basis, or be made on a basis compatible with the payroll system. Deductions cannot be made for any purpose other than for the payment of dues.</w:t>
      </w:r>
    </w:p>
    <w:p>
      <w:pPr>
        <w:spacing w:before="210" w:after="0"/>
        <w:ind w:left="120"/>
        <w:jc w:val="both"/>
      </w:pPr>
      <w:r>
        <w:rPr>
          <w:rFonts w:ascii="Times New Roman" w:hAnsi="Times New Roman"/>
          <w:b/>
          <w:i w:val="false"/>
          <w:color w:val="000000"/>
          <w:sz w:val="22"/>
        </w:rPr>
        <w:t>11—44.5</w:t>
      </w:r>
      <w:r>
        <w:rPr>
          <w:rFonts w:ascii="Times New Roman" w:hAnsi="Times New Roman"/>
          <w:b/>
          <w:i w:val="false"/>
          <w:color w:val="000000"/>
          <w:sz w:val="22"/>
        </w:rPr>
        <w:t xml:space="preserve">(70A) </w:t>
      </w:r>
      <w:r>
        <w:rPr>
          <w:rFonts w:ascii="Times New Roman" w:hAnsi="Times New Roman"/>
          <w:b/>
          <w:i w:val="false"/>
          <w:color w:val="000000"/>
          <w:sz w:val="22"/>
        </w:rPr>
        <w:t xml:space="preserve">Distribution of literature. </w:t>
      </w:r>
      <w:r>
        <w:rPr>
          <w:rFonts w:ascii="Times New Roman" w:hAnsi="Times New Roman"/>
          <w:b w:val="false"/>
          <w:i w:val="false"/>
          <w:color w:val="000000"/>
          <w:sz w:val="22"/>
        </w:rPr>
        <w:t>The state of Iowa will not distribute literature soliciting for a dues payment payroll deduction or any other matter with payroll materials.</w:t>
      </w:r>
    </w:p>
    <w:p>
      <w:pPr>
        <w:spacing w:before="210" w:after="0"/>
        <w:ind w:left="120"/>
        <w:jc w:val="both"/>
      </w:pPr>
      <w:r>
        <w:rPr>
          <w:rFonts w:ascii="Times New Roman" w:hAnsi="Times New Roman"/>
          <w:b/>
          <w:i w:val="false"/>
          <w:color w:val="000000"/>
          <w:sz w:val="22"/>
        </w:rPr>
        <w:t>11—44.6</w:t>
      </w:r>
      <w:r>
        <w:rPr>
          <w:rFonts w:ascii="Times New Roman" w:hAnsi="Times New Roman"/>
          <w:b/>
          <w:i w:val="false"/>
          <w:color w:val="000000"/>
          <w:sz w:val="22"/>
        </w:rPr>
        <w:t xml:space="preserve">(70A) </w:t>
      </w:r>
      <w:r>
        <w:rPr>
          <w:rFonts w:ascii="Times New Roman" w:hAnsi="Times New Roman"/>
          <w:b/>
          <w:i w:val="false"/>
          <w:color w:val="000000"/>
          <w:sz w:val="22"/>
        </w:rPr>
        <w:t xml:space="preserve">Number of contributions. </w:t>
      </w:r>
      <w:r>
        <w:rPr>
          <w:rFonts w:ascii="Times New Roman" w:hAnsi="Times New Roman"/>
          <w:b w:val="false"/>
          <w:i w:val="false"/>
          <w:color w:val="000000"/>
          <w:sz w:val="22"/>
        </w:rPr>
        <w:t>Each payroll system must allow each employee the opportunity to make a combination of insurance/professional/trade dues deductions to as many as five companies, but no more.</w:t>
      </w:r>
    </w:p>
    <w:p>
      <w:pPr>
        <w:spacing w:before="210" w:after="0"/>
        <w:ind w:left="120"/>
        <w:jc w:val="both"/>
      </w:pPr>
      <w:r>
        <w:rPr>
          <w:rFonts w:ascii="Times New Roman" w:hAnsi="Times New Roman"/>
          <w:b/>
          <w:i w:val="false"/>
          <w:color w:val="000000"/>
          <w:sz w:val="22"/>
        </w:rPr>
        <w:t>11—44.7</w:t>
      </w:r>
      <w:r>
        <w:rPr>
          <w:rFonts w:ascii="Times New Roman" w:hAnsi="Times New Roman"/>
          <w:b/>
          <w:i w:val="false"/>
          <w:color w:val="000000"/>
          <w:sz w:val="22"/>
        </w:rPr>
        <w:t xml:space="preserve">(70A) </w:t>
      </w:r>
      <w:r>
        <w:rPr>
          <w:rFonts w:ascii="Times New Roman" w:hAnsi="Times New Roman"/>
          <w:b/>
          <w:i w:val="false"/>
          <w:color w:val="000000"/>
          <w:sz w:val="22"/>
        </w:rPr>
        <w:t xml:space="preserve">Cash contributions. </w:t>
      </w:r>
      <w:r>
        <w:rPr>
          <w:rFonts w:ascii="Times New Roman" w:hAnsi="Times New Roman"/>
          <w:b w:val="false"/>
          <w:i w:val="false"/>
          <w:color w:val="000000"/>
          <w:sz w:val="22"/>
        </w:rPr>
        <w:t>No cash contributions will be accepted or administered through the payroll process or system.</w:t>
      </w:r>
    </w:p>
    <w:p>
      <w:pPr>
        <w:spacing w:before="210" w:after="0"/>
        <w:ind w:left="120"/>
        <w:jc w:val="both"/>
      </w:pPr>
      <w:r>
        <w:rPr>
          <w:rFonts w:ascii="Times New Roman" w:hAnsi="Times New Roman"/>
          <w:b/>
          <w:i w:val="false"/>
          <w:color w:val="000000"/>
          <w:sz w:val="22"/>
        </w:rPr>
        <w:t>11—44.8</w:t>
      </w:r>
      <w:r>
        <w:rPr>
          <w:rFonts w:ascii="Times New Roman" w:hAnsi="Times New Roman"/>
          <w:b/>
          <w:i w:val="false"/>
          <w:color w:val="000000"/>
          <w:sz w:val="22"/>
        </w:rPr>
        <w:t xml:space="preserve">(70A) </w:t>
      </w:r>
      <w:r>
        <w:rPr>
          <w:rFonts w:ascii="Times New Roman" w:hAnsi="Times New Roman"/>
          <w:b/>
          <w:i w:val="false"/>
          <w:color w:val="000000"/>
          <w:sz w:val="22"/>
        </w:rPr>
        <w:t xml:space="preserve">Terminations. </w:t>
      </w:r>
      <w:r>
        <w:rPr>
          <w:rFonts w:ascii="Times New Roman" w:hAnsi="Times New Roman"/>
          <w:b w:val="false"/>
          <w:i w:val="false"/>
          <w:color w:val="000000"/>
          <w:sz w:val="22"/>
        </w:rPr>
        <w:t>An employee wishing to terminate the deduction shall be required to give 30 days’ notice in writing to the appointing authority of the department in which the employee works.</w:t>
      </w:r>
    </w:p>
    <w:p>
      <w:pPr>
        <w:spacing w:before="210" w:after="0"/>
        <w:ind w:left="120"/>
        <w:jc w:val="both"/>
      </w:pPr>
      <w:r>
        <w:rPr>
          <w:rFonts w:ascii="Times New Roman" w:hAnsi="Times New Roman"/>
          <w:b/>
          <w:i w:val="false"/>
          <w:color w:val="000000"/>
          <w:sz w:val="22"/>
        </w:rPr>
        <w:t>11—44.9</w:t>
      </w:r>
      <w:r>
        <w:rPr>
          <w:rFonts w:ascii="Times New Roman" w:hAnsi="Times New Roman"/>
          <w:b/>
          <w:i w:val="false"/>
          <w:color w:val="000000"/>
          <w:sz w:val="22"/>
        </w:rPr>
        <w:t xml:space="preserve">(70A) </w:t>
      </w:r>
      <w:r>
        <w:rPr>
          <w:rFonts w:ascii="Times New Roman" w:hAnsi="Times New Roman"/>
          <w:b/>
          <w:i w:val="false"/>
          <w:color w:val="000000"/>
          <w:sz w:val="22"/>
        </w:rPr>
        <w:t xml:space="preserve">Remittance. </w:t>
      </w:r>
      <w:r>
        <w:rPr>
          <w:rFonts w:ascii="Times New Roman" w:hAnsi="Times New Roman"/>
          <w:b w:val="false"/>
          <w:i w:val="false"/>
          <w:color w:val="000000"/>
          <w:sz w:val="22"/>
        </w:rPr>
        <w:t>The administrator of the payroll system must mail the monthly payment to each company within 20 working days after the last pay date of each calendar month. Support documentation is limited to a listing of employees and the amount deducted.</w:t>
      </w:r>
    </w:p>
    <w:p>
      <w:pPr>
        <w:spacing w:before="210" w:after="0"/>
        <w:ind w:left="120"/>
        <w:jc w:val="both"/>
      </w:pPr>
      <w:r>
        <w:rPr>
          <w:rFonts w:ascii="Times New Roman" w:hAnsi="Times New Roman"/>
          <w:b/>
          <w:i w:val="false"/>
          <w:color w:val="000000"/>
          <w:sz w:val="22"/>
        </w:rPr>
        <w:t>11—44.10</w:t>
      </w:r>
      <w:r>
        <w:rPr>
          <w:rFonts w:ascii="Times New Roman" w:hAnsi="Times New Roman"/>
          <w:b/>
          <w:i w:val="false"/>
          <w:color w:val="000000"/>
          <w:sz w:val="22"/>
        </w:rPr>
        <w:t xml:space="preserve">(70A) </w:t>
      </w:r>
      <w:r>
        <w:rPr>
          <w:rFonts w:ascii="Times New Roman" w:hAnsi="Times New Roman"/>
          <w:b/>
          <w:i w:val="false"/>
          <w:color w:val="000000"/>
          <w:sz w:val="22"/>
        </w:rPr>
        <w:t xml:space="preserve">Solicitation prohibited. </w:t>
      </w:r>
      <w:r>
        <w:rPr>
          <w:rFonts w:ascii="Times New Roman" w:hAnsi="Times New Roman"/>
          <w:b w:val="false"/>
          <w:i w:val="false"/>
          <w:color w:val="000000"/>
          <w:sz w:val="22"/>
        </w:rPr>
        <w:t>Agency rules prohibiting solicitation on state property must be followed by all salespersons or agents.</w:t>
      </w:r>
    </w:p>
    <w:p>
      <w:pPr>
        <w:spacing w:before="0" w:after="0"/>
        <w:ind w:left="120"/>
        <w:jc w:val="both"/>
      </w:pPr>
      <w:r>
        <w:rPr>
          <w:rFonts w:ascii="Times New Roman" w:hAnsi="Times New Roman"/>
          <w:b/>
          <w:i w:val="false"/>
          <w:color w:val="000000"/>
          <w:sz w:val="22"/>
        </w:rPr>
        <w:t>11—44.11</w:t>
      </w:r>
      <w:r>
        <w:rPr>
          <w:rFonts w:ascii="Times New Roman" w:hAnsi="Times New Roman"/>
          <w:b/>
          <w:i w:val="false"/>
          <w:color w:val="000000"/>
          <w:sz w:val="22"/>
        </w:rPr>
        <w:t xml:space="preserve">(70A) </w:t>
      </w:r>
      <w:r>
        <w:rPr>
          <w:rFonts w:ascii="Times New Roman" w:hAnsi="Times New Roman"/>
          <w:b/>
          <w:i w:val="false"/>
          <w:color w:val="000000"/>
          <w:sz w:val="22"/>
        </w:rPr>
        <w:t xml:space="preserve">Annual review of participating employees. </w:t>
      </w:r>
      <w:r>
        <w:rPr>
          <w:rFonts w:ascii="Times New Roman" w:hAnsi="Times New Roman"/>
          <w:b w:val="false"/>
          <w:i w:val="false"/>
          <w:color w:val="000000"/>
          <w:sz w:val="22"/>
        </w:rPr>
        <w:t xml:space="preserve">During September of each year, each participating association must, if requested by the department, supply officials in charge of each affected payroll system with a certified list of all state employees who have a professional/trade association dues deduction. The list must contain the same information required in rule </w:t>
      </w:r>
      <w:hyperlink r:id="rId5">
        <w:r>
          <w:rPr>
            <w:rStyle w:val="Hyperlink"/>
            <w:rFonts w:ascii="Times New Roman" w:hAnsi="Times New Roman"/>
            <w:b w:val="false"/>
            <w:i w:val="false"/>
            <w:color w:val="000000"/>
            <w:sz w:val="22"/>
          </w:rPr>
          <w:t>11—44.2(70A)</w:t>
        </w:r>
      </w:hyperlink>
      <w:r>
        <w:rPr>
          <w:rFonts w:ascii="Times New Roman" w:hAnsi="Times New Roman"/>
          <w:b w:val="false"/>
          <w:i w:val="false"/>
          <w:color w:val="000000"/>
          <w:sz w:val="22"/>
        </w:rPr>
        <w:t>, as the list will be used by the state to determine if the association continues to have 100 or more employees participating in the program.</w:t>
      </w:r>
    </w:p>
    <w:p>
      <w:pPr>
        <w:spacing w:before="0" w:after="0"/>
        <w:ind w:left="120"/>
        <w:jc w:val="both"/>
      </w:pPr>
      <w:r>
        <w:rPr>
          <w:rFonts w:ascii="Times New Roman" w:hAnsi="Times New Roman"/>
          <w:b w:val="false"/>
          <w:i w:val="false"/>
          <w:color w:val="000000"/>
          <w:sz w:val="22"/>
        </w:rPr>
        <w:t>If the minimum qualification is not being maintained, written notification may be provided to the association giving it 90 days to meet the minimum qualification. If, at the end of the 90-day period, the minimum qualification has not been attained, the dues deduction for all participating employees for that association may be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70A.17A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44.2.pdf" Type="http://schemas.openxmlformats.org/officeDocument/2006/relationships/hyperlink" Id="rId5"/>
    <Relationship TargetMode="External" Target="https://www.legis.iowa.gov/docs/ico/chapter/70A.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