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43</w:t>
      </w:r>
    </w:p>
    <w:p>
      <w:pPr>
        <w:spacing w:before="0" w:after="0"/>
        <w:ind w:left="120"/>
        <w:jc w:val="center"/>
      </w:pPr>
      <w:r>
        <w:rPr>
          <w:rFonts w:ascii="Times New Roman" w:hAnsi="Times New Roman"/>
          <w:b w:val="false"/>
          <w:i w:val="false"/>
          <w:color w:val="000000"/>
          <w:sz w:val="21"/>
        </w:rPr>
        <w:t>EMPLOYEE PAYROLL DEDUCTIONS FOR CHARITABLE ORGANIZATIONS</w:t>
      </w:r>
    </w:p>
    <w:p>
      <w:pPr>
        <w:spacing w:before="0" w:after="0"/>
        <w:ind w:left="120"/>
        <w:jc w:val="center"/>
      </w:pPr>
      <w:r>
        <w:rPr>
          <w:rFonts w:ascii="Times New Roman" w:hAnsi="Times New Roman"/>
          <w:b w:val="false"/>
          <w:i w:val="false"/>
          <w:color w:val="000000"/>
          <w:sz w:val="14"/>
        </w:rPr>
        <w:t>[Prior to 12/17/86, Comptroller, State[270] Ch 3]</w:t>
      </w:r>
    </w:p>
    <w:p>
      <w:pPr>
        <w:spacing w:before="0" w:after="0"/>
        <w:ind w:left="120"/>
        <w:jc w:val="center"/>
      </w:pPr>
      <w:r>
        <w:rPr>
          <w:rFonts w:ascii="Times New Roman" w:hAnsi="Times New Roman"/>
          <w:b w:val="false"/>
          <w:i w:val="false"/>
          <w:color w:val="000000"/>
          <w:sz w:val="14"/>
        </w:rPr>
        <w:t>[Prior to 5/12/04, see 701—Ch 203]</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210" w:after="0"/>
        <w:ind w:left="120"/>
        <w:jc w:val="both"/>
      </w:pPr>
      <w:r>
        <w:rPr>
          <w:rFonts w:ascii="Times New Roman" w:hAnsi="Times New Roman"/>
          <w:b/>
          <w:i w:val="false"/>
          <w:color w:val="000000"/>
          <w:sz w:val="22"/>
        </w:rPr>
        <w:t>11—43.1</w:t>
      </w:r>
      <w:r>
        <w:rPr>
          <w:rFonts w:ascii="Times New Roman" w:hAnsi="Times New Roman"/>
          <w:b/>
          <w:i w:val="false"/>
          <w:color w:val="000000"/>
          <w:sz w:val="22"/>
        </w:rPr>
        <w:t xml:space="preserve">(70A) </w:t>
      </w:r>
      <w:r>
        <w:rPr>
          <w:rFonts w:ascii="Times New Roman" w:hAnsi="Times New Roman"/>
          <w:b/>
          <w:i w:val="false"/>
          <w:color w:val="000000"/>
          <w:sz w:val="22"/>
        </w:rPr>
        <w:t xml:space="preserve">General provisions. </w:t>
      </w:r>
      <w:r>
        <w:rPr>
          <w:rFonts w:ascii="Times New Roman" w:hAnsi="Times New Roman"/>
          <w:b w:val="false"/>
          <w:i w:val="false"/>
          <w:color w:val="000000"/>
          <w:sz w:val="22"/>
        </w:rPr>
        <w:t>The state of Iowa may extend to eligible charitable organizations the right to receive contribution deductions from state employees upon presentation of payroll deduction authorization cards signed by the state employees.</w:t>
      </w:r>
    </w:p>
    <w:p>
      <w:pPr>
        <w:spacing w:before="0" w:after="0"/>
        <w:ind w:left="120"/>
        <w:jc w:val="both"/>
      </w:pPr>
      <w:r>
        <w:rPr>
          <w:rFonts w:ascii="Times New Roman" w:hAnsi="Times New Roman"/>
          <w:b/>
          <w:i w:val="false"/>
          <w:color w:val="000000"/>
          <w:sz w:val="22"/>
        </w:rPr>
        <w:t>11—43.2</w:t>
      </w:r>
      <w:r>
        <w:rPr>
          <w:rFonts w:ascii="Times New Roman" w:hAnsi="Times New Roman"/>
          <w:b/>
          <w:i w:val="false"/>
          <w:color w:val="000000"/>
          <w:sz w:val="22"/>
        </w:rPr>
        <w:t xml:space="preserve">(70A) </w:t>
      </w:r>
      <w:r>
        <w:rPr>
          <w:rFonts w:ascii="Times New Roman" w:hAnsi="Times New Roman"/>
          <w:b/>
          <w:i w:val="false"/>
          <w:color w:val="000000"/>
          <w:sz w:val="22"/>
        </w:rPr>
        <w:t xml:space="preserve">Qualifications. </w:t>
      </w:r>
      <w:r>
        <w:rPr>
          <w:rFonts w:ascii="Times New Roman" w:hAnsi="Times New Roman"/>
          <w:b w:val="false"/>
          <w:i w:val="false"/>
          <w:color w:val="000000"/>
          <w:sz w:val="22"/>
        </w:rPr>
        <w:t>To qualify to receive contributions an organization must: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43.2(1)</w:t>
      </w:r>
      <w:r>
        <w:rPr>
          <w:rFonts w:ascii="Times New Roman" w:hAnsi="Times New Roman"/>
          <w:b w:val="false"/>
          <w:i w:val="false"/>
          <w:color w:val="000000"/>
          <w:sz w:val="22"/>
        </w:rPr>
        <w:t> </w:t>
      </w:r>
      <w:r>
        <w:rPr>
          <w:rFonts w:ascii="Times New Roman" w:hAnsi="Times New Roman"/>
          <w:b w:val="false"/>
          <w:i w:val="false"/>
          <w:color w:val="000000"/>
          <w:sz w:val="22"/>
        </w:rPr>
        <w:t>Be eligible to receive contributions which may be deducted on the contributor’s Iowa individual income tax return.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43.2(2)</w:t>
      </w:r>
      <w:r>
        <w:rPr>
          <w:rFonts w:ascii="Times New Roman" w:hAnsi="Times New Roman"/>
          <w:b w:val="false"/>
          <w:i w:val="false"/>
          <w:color w:val="000000"/>
          <w:sz w:val="22"/>
        </w:rPr>
        <w:t> </w:t>
      </w:r>
      <w:r>
        <w:rPr>
          <w:rFonts w:ascii="Times New Roman" w:hAnsi="Times New Roman"/>
          <w:b w:val="false"/>
          <w:i w:val="false"/>
          <w:color w:val="000000"/>
          <w:sz w:val="22"/>
        </w:rPr>
        <w:t>Have 100 or more eligible state officers and employees participating for any payroll system as set forth in rule 11—43.5(70A).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4134C</w:t>
      </w:r>
      <w:r>
        <w:rPr>
          <w:rFonts w:ascii="Times New Roman" w:hAnsi="Times New Roman"/>
          <w:b w:val="false"/>
          <w:i w:val="false"/>
          <w:color w:val="000000"/>
          <w:sz w:val="16"/>
        </w:rPr>
        <w:t>, IAB 11/21/18, effective 12/26/18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11—43.3</w:t>
      </w:r>
      <w:r>
        <w:rPr>
          <w:rFonts w:ascii="Times New Roman" w:hAnsi="Times New Roman"/>
          <w:b/>
          <w:i w:val="false"/>
          <w:color w:val="000000"/>
          <w:sz w:val="22"/>
        </w:rPr>
        <w:t xml:space="preserve">(70A) </w:t>
      </w:r>
      <w:r>
        <w:rPr>
          <w:rFonts w:ascii="Times New Roman" w:hAnsi="Times New Roman"/>
          <w:b/>
          <w:i w:val="false"/>
          <w:color w:val="000000"/>
          <w:sz w:val="22"/>
        </w:rPr>
        <w:t xml:space="preserve">Enrollment period. </w:t>
      </w:r>
      <w:r>
        <w:rPr>
          <w:rFonts w:ascii="Times New Roman" w:hAnsi="Times New Roman"/>
          <w:b w:val="false"/>
          <w:i w:val="false"/>
          <w:color w:val="000000"/>
          <w:sz w:val="22"/>
        </w:rPr>
        <w:t>The enrollment period shall be designated by the charitable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43.3(1)</w:t>
      </w:r>
      <w:r>
        <w:rPr>
          <w:rFonts w:ascii="Times New Roman" w:hAnsi="Times New Roman"/>
          <w:b w:val="false"/>
          <w:i w:val="false"/>
          <w:color w:val="000000"/>
          <w:sz w:val="22"/>
        </w:rPr>
        <w:t> </w:t>
      </w:r>
      <w:r>
        <w:rPr>
          <w:rFonts w:ascii="Times New Roman" w:hAnsi="Times New Roman"/>
          <w:b w:val="false"/>
          <w:i w:val="false"/>
          <w:color w:val="000000"/>
          <w:sz w:val="22"/>
        </w:rPr>
        <w:t xml:space="preserve">Employees will be provided a list of qualified organizations at least semiannually.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43.3(2)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11—43.4</w:t>
      </w:r>
      <w:r>
        <w:rPr>
          <w:rFonts w:ascii="Times New Roman" w:hAnsi="Times New Roman"/>
          <w:b/>
          <w:i w:val="false"/>
          <w:color w:val="000000"/>
          <w:sz w:val="22"/>
        </w:rPr>
        <w:t xml:space="preserve">(70A) </w:t>
      </w:r>
      <w:r>
        <w:rPr>
          <w:rFonts w:ascii="Times New Roman" w:hAnsi="Times New Roman"/>
          <w:b/>
          <w:i w:val="false"/>
          <w:color w:val="000000"/>
          <w:sz w:val="22"/>
        </w:rPr>
        <w:t xml:space="preserve">Certification. </w:t>
      </w:r>
      <w:r>
        <w:rPr>
          <w:rFonts w:ascii="Times New Roman" w:hAnsi="Times New Roman"/>
          <w:b w:val="false"/>
          <w:i w:val="false"/>
          <w:color w:val="000000"/>
          <w:sz w:val="22"/>
        </w:rPr>
        <w:t>In order to qualify as a “charitable organization” under the terms of this program, each organization must file an annual certification with the administrator of the payroll system. The certification must show: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43.4(1)</w:t>
      </w:r>
      <w:r>
        <w:rPr>
          <w:rFonts w:ascii="Times New Roman" w:hAnsi="Times New Roman"/>
          <w:b w:val="false"/>
          <w:i w:val="false"/>
          <w:color w:val="000000"/>
          <w:sz w:val="22"/>
        </w:rPr>
        <w:t> </w:t>
      </w:r>
      <w:r>
        <w:rPr>
          <w:rFonts w:ascii="Times New Roman" w:hAnsi="Times New Roman"/>
          <w:b w:val="false"/>
          <w:i w:val="false"/>
          <w:color w:val="000000"/>
          <w:sz w:val="22"/>
        </w:rPr>
        <w:t xml:space="preserve">That the organization is eligible to receive contributions as defined in </w:t>
      </w:r>
      <w:hyperlink r:id="rId5">
        <w:r>
          <w:rPr>
            <w:rStyle w:val="Hyperlink"/>
            <w:rFonts w:ascii="Times New Roman" w:hAnsi="Times New Roman"/>
            <w:b w:val="false"/>
            <w:i w:val="false"/>
            <w:color w:val="000000"/>
            <w:sz w:val="22"/>
          </w:rPr>
          <w:t>11—43.1(70A)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43.4(2)</w:t>
      </w:r>
      <w:r>
        <w:rPr>
          <w:rFonts w:ascii="Times New Roman" w:hAnsi="Times New Roman"/>
          <w:b w:val="false"/>
          <w:i w:val="false"/>
          <w:color w:val="000000"/>
          <w:sz w:val="22"/>
        </w:rPr>
        <w:t> </w:t>
      </w:r>
      <w:r>
        <w:rPr>
          <w:rFonts w:ascii="Times New Roman" w:hAnsi="Times New Roman"/>
          <w:b w:val="false"/>
          <w:i w:val="false"/>
          <w:color w:val="000000"/>
          <w:sz w:val="22"/>
        </w:rPr>
        <w:t xml:space="preserve">That the organization has met the requirements for tax deduction and number of participants as defined in </w:t>
      </w:r>
      <w:hyperlink r:id="rId6">
        <w:r>
          <w:rPr>
            <w:rStyle w:val="Hyperlink"/>
            <w:rFonts w:ascii="Times New Roman" w:hAnsi="Times New Roman"/>
            <w:b w:val="false"/>
            <w:i w:val="false"/>
            <w:color w:val="000000"/>
            <w:sz w:val="22"/>
          </w:rPr>
          <w:t>subrule 43.2(2)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11—43.5</w:t>
      </w:r>
      <w:r>
        <w:rPr>
          <w:rFonts w:ascii="Times New Roman" w:hAnsi="Times New Roman"/>
          <w:b/>
          <w:i w:val="false"/>
          <w:color w:val="000000"/>
          <w:sz w:val="22"/>
        </w:rPr>
        <w:t xml:space="preserve">(70A) </w:t>
      </w:r>
      <w:r>
        <w:rPr>
          <w:rFonts w:ascii="Times New Roman" w:hAnsi="Times New Roman"/>
          <w:b/>
          <w:i w:val="false"/>
          <w:color w:val="000000"/>
          <w:sz w:val="22"/>
        </w:rPr>
        <w:t xml:space="preserve">Payroll system. </w:t>
      </w:r>
      <w:r>
        <w:rPr>
          <w:rFonts w:ascii="Times New Roman" w:hAnsi="Times New Roman"/>
          <w:b w:val="false"/>
          <w:i w:val="false"/>
          <w:color w:val="000000"/>
          <w:sz w:val="22"/>
        </w:rPr>
        <w:t>A payroll system for the purpose of this chapter is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State of Iowa centralized.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Department of transportation.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4134C</w:t>
      </w:r>
      <w:r>
        <w:rPr>
          <w:rFonts w:ascii="Times New Roman" w:hAnsi="Times New Roman"/>
          <w:b w:val="false"/>
          <w:i w:val="false"/>
          <w:color w:val="000000"/>
          <w:sz w:val="16"/>
        </w:rPr>
        <w:t>, IAB 11/21/18, effective 12/26/18</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11—43.6</w:t>
      </w:r>
      <w:r>
        <w:rPr>
          <w:rFonts w:ascii="Times New Roman" w:hAnsi="Times New Roman"/>
          <w:b/>
          <w:i w:val="false"/>
          <w:color w:val="000000"/>
          <w:sz w:val="22"/>
        </w:rPr>
        <w:t xml:space="preserve">(70A) </w:t>
      </w:r>
      <w:r>
        <w:rPr>
          <w:rFonts w:ascii="Times New Roman" w:hAnsi="Times New Roman"/>
          <w:b/>
          <w:i w:val="false"/>
          <w:color w:val="000000"/>
          <w:sz w:val="22"/>
        </w:rPr>
        <w:t xml:space="preserve">Forms. </w:t>
      </w:r>
      <w:r>
        <w:rPr>
          <w:rFonts w:ascii="Times New Roman" w:hAnsi="Times New Roman"/>
          <w:b w:val="false"/>
          <w:i w:val="false"/>
          <w:color w:val="000000"/>
          <w:sz w:val="22"/>
        </w:rPr>
        <w:t>The administration of payroll deductions for charitable organizations must be done on authorization forms approved by the department of administrative services, state accounting enterprise. The responsible official in charge of each payroll system may be designated by the department of administrative services, state accounting enterprise, as an authorized representative to approve authorized forms for that payroll system.</w:t>
      </w:r>
    </w:p>
    <w:p>
      <w:pPr>
        <w:spacing w:before="210" w:after="0"/>
        <w:ind w:left="120"/>
        <w:jc w:val="both"/>
      </w:pPr>
      <w:r>
        <w:rPr>
          <w:rFonts w:ascii="Times New Roman" w:hAnsi="Times New Roman"/>
          <w:b/>
          <w:i w:val="false"/>
          <w:color w:val="000000"/>
          <w:sz w:val="22"/>
        </w:rPr>
        <w:t>11—43.7</w:t>
      </w:r>
      <w:r>
        <w:rPr>
          <w:rFonts w:ascii="Times New Roman" w:hAnsi="Times New Roman"/>
          <w:b/>
          <w:i w:val="false"/>
          <w:color w:val="000000"/>
          <w:sz w:val="22"/>
        </w:rPr>
        <w:t xml:space="preserve">(70A) </w:t>
      </w:r>
      <w:r>
        <w:rPr>
          <w:rFonts w:ascii="Times New Roman" w:hAnsi="Times New Roman"/>
          <w:b/>
          <w:i w:val="false"/>
          <w:color w:val="000000"/>
          <w:sz w:val="22"/>
        </w:rPr>
        <w:t xml:space="preserve">Payee. </w:t>
      </w:r>
      <w:r>
        <w:rPr>
          <w:rFonts w:ascii="Times New Roman" w:hAnsi="Times New Roman"/>
          <w:b w:val="false"/>
          <w:i w:val="false"/>
          <w:color w:val="000000"/>
          <w:sz w:val="22"/>
        </w:rPr>
        <w:t xml:space="preserve">When there is more than one unit within an eligible charitable organization, the designated payee is the organization that qualified under the provisions of </w:t>
      </w:r>
      <w:hyperlink r:id="rId7">
        <w:r>
          <w:rPr>
            <w:rStyle w:val="Hyperlink"/>
            <w:rFonts w:ascii="Times New Roman" w:hAnsi="Times New Roman"/>
            <w:b w:val="false"/>
            <w:i w:val="false"/>
            <w:color w:val="000000"/>
            <w:sz w:val="22"/>
          </w:rPr>
          <w:t>11—43.2(70A)</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11—43.8</w:t>
      </w:r>
      <w:r>
        <w:rPr>
          <w:rFonts w:ascii="Times New Roman" w:hAnsi="Times New Roman"/>
          <w:b/>
          <w:i w:val="false"/>
          <w:color w:val="000000"/>
          <w:sz w:val="22"/>
        </w:rPr>
        <w:t xml:space="preserve">(70A) </w:t>
      </w:r>
      <w:r>
        <w:rPr>
          <w:rFonts w:ascii="Times New Roman" w:hAnsi="Times New Roman"/>
          <w:b/>
          <w:i w:val="false"/>
          <w:color w:val="000000"/>
          <w:sz w:val="22"/>
        </w:rPr>
        <w:t xml:space="preserve">Contribution limits. </w:t>
      </w:r>
      <w:r>
        <w:rPr>
          <w:rFonts w:ascii="Times New Roman" w:hAnsi="Times New Roman"/>
          <w:b w:val="false"/>
          <w:i w:val="false"/>
          <w:color w:val="000000"/>
          <w:sz w:val="22"/>
        </w:rPr>
        <w:t>Contributions for payroll deductions must be a minimum of $1 per deduction. The frequency of the deductions shall be compatible with the payroll system.</w:t>
      </w:r>
    </w:p>
    <w:p>
      <w:pPr>
        <w:spacing w:before="210" w:after="0"/>
        <w:ind w:left="120"/>
        <w:jc w:val="both"/>
      </w:pPr>
      <w:r>
        <w:rPr>
          <w:rFonts w:ascii="Times New Roman" w:hAnsi="Times New Roman"/>
          <w:b/>
          <w:i w:val="false"/>
          <w:color w:val="000000"/>
          <w:sz w:val="22"/>
        </w:rPr>
        <w:t>11—43.9</w:t>
      </w:r>
      <w:r>
        <w:rPr>
          <w:rFonts w:ascii="Times New Roman" w:hAnsi="Times New Roman"/>
          <w:b/>
          <w:i w:val="false"/>
          <w:color w:val="000000"/>
          <w:sz w:val="22"/>
        </w:rPr>
        <w:t xml:space="preserve">(70A) </w:t>
      </w:r>
      <w:r>
        <w:rPr>
          <w:rFonts w:ascii="Times New Roman" w:hAnsi="Times New Roman"/>
          <w:b/>
          <w:i w:val="false"/>
          <w:color w:val="000000"/>
          <w:sz w:val="22"/>
        </w:rPr>
        <w:t xml:space="preserve">Distribution of literature. </w:t>
      </w:r>
      <w:r>
        <w:rPr>
          <w:rFonts w:ascii="Times New Roman" w:hAnsi="Times New Roman"/>
          <w:b w:val="false"/>
          <w:i w:val="false"/>
          <w:color w:val="000000"/>
          <w:sz w:val="22"/>
        </w:rPr>
        <w:t>The office of the department of administrative services, state accounting enterprise, will not distribute literature for charitable organizations with payroll materials.</w:t>
      </w:r>
    </w:p>
    <w:p>
      <w:pPr>
        <w:spacing w:before="210" w:after="0"/>
        <w:ind w:left="120"/>
        <w:jc w:val="both"/>
      </w:pPr>
      <w:r>
        <w:rPr>
          <w:rFonts w:ascii="Times New Roman" w:hAnsi="Times New Roman"/>
          <w:b/>
          <w:i w:val="false"/>
          <w:color w:val="000000"/>
          <w:sz w:val="22"/>
        </w:rPr>
        <w:t>11—43.10</w:t>
      </w:r>
      <w:r>
        <w:rPr>
          <w:rFonts w:ascii="Times New Roman" w:hAnsi="Times New Roman"/>
          <w:b/>
          <w:i w:val="false"/>
          <w:color w:val="000000"/>
          <w:sz w:val="22"/>
        </w:rPr>
        <w:t xml:space="preserve">(70A) </w:t>
      </w:r>
      <w:r>
        <w:rPr>
          <w:rFonts w:ascii="Times New Roman" w:hAnsi="Times New Roman"/>
          <w:b/>
          <w:i w:val="false"/>
          <w:color w:val="000000"/>
          <w:sz w:val="22"/>
        </w:rPr>
        <w:t xml:space="preserve">Number of contributions. </w:t>
      </w:r>
      <w:r>
        <w:rPr>
          <w:rFonts w:ascii="Times New Roman" w:hAnsi="Times New Roman"/>
          <w:b w:val="false"/>
          <w:i w:val="false"/>
          <w:color w:val="000000"/>
          <w:sz w:val="22"/>
        </w:rPr>
        <w:t>Each payroll system shall provide for each employee to make contributions to four charitable organizations. The administrator of each payroll system may elect to provide for contributions to a maximum of nine charitable organizations for each employee.</w:t>
      </w:r>
    </w:p>
    <w:p>
      <w:pPr>
        <w:spacing w:before="210" w:after="0"/>
        <w:ind w:left="120"/>
        <w:jc w:val="both"/>
      </w:pPr>
      <w:r>
        <w:rPr>
          <w:rFonts w:ascii="Times New Roman" w:hAnsi="Times New Roman"/>
          <w:b/>
          <w:i w:val="false"/>
          <w:color w:val="000000"/>
          <w:sz w:val="22"/>
        </w:rPr>
        <w:t>11—43.11</w:t>
      </w:r>
      <w:r>
        <w:rPr>
          <w:rFonts w:ascii="Times New Roman" w:hAnsi="Times New Roman"/>
          <w:b/>
          <w:i w:val="false"/>
          <w:color w:val="000000"/>
          <w:sz w:val="22"/>
        </w:rPr>
        <w:t xml:space="preserve">(70A) </w:t>
      </w:r>
      <w:r>
        <w:rPr>
          <w:rFonts w:ascii="Times New Roman" w:hAnsi="Times New Roman"/>
          <w:b/>
          <w:i w:val="false"/>
          <w:color w:val="000000"/>
          <w:sz w:val="22"/>
        </w:rPr>
        <w:t xml:space="preserve">Cash contributions. </w:t>
      </w:r>
      <w:r>
        <w:rPr>
          <w:rFonts w:ascii="Times New Roman" w:hAnsi="Times New Roman"/>
          <w:b w:val="false"/>
          <w:i w:val="false"/>
          <w:color w:val="000000"/>
          <w:sz w:val="22"/>
        </w:rPr>
        <w:t>No cash contributions will be accepted or administered through the payroll process or system.</w:t>
      </w:r>
    </w:p>
    <w:p>
      <w:pPr>
        <w:spacing w:before="210" w:after="0"/>
        <w:ind w:left="120"/>
        <w:jc w:val="both"/>
      </w:pPr>
      <w:r>
        <w:rPr>
          <w:rFonts w:ascii="Times New Roman" w:hAnsi="Times New Roman"/>
          <w:b/>
          <w:i w:val="false"/>
          <w:color w:val="000000"/>
          <w:sz w:val="22"/>
        </w:rPr>
        <w:t>11—43.12</w:t>
      </w:r>
      <w:r>
        <w:rPr>
          <w:rFonts w:ascii="Times New Roman" w:hAnsi="Times New Roman"/>
          <w:b/>
          <w:i w:val="false"/>
          <w:color w:val="000000"/>
          <w:sz w:val="22"/>
        </w:rPr>
        <w:t xml:space="preserve">(70A) </w:t>
      </w:r>
      <w:r>
        <w:rPr>
          <w:rFonts w:ascii="Times New Roman" w:hAnsi="Times New Roman"/>
          <w:b/>
          <w:i w:val="false"/>
          <w:color w:val="000000"/>
          <w:sz w:val="22"/>
        </w:rPr>
        <w:t xml:space="preserve">Terminations. </w:t>
      </w:r>
      <w:r>
        <w:rPr>
          <w:rFonts w:ascii="Times New Roman" w:hAnsi="Times New Roman"/>
          <w:b w:val="false"/>
          <w:i w:val="false"/>
          <w:color w:val="000000"/>
          <w:sz w:val="22"/>
        </w:rPr>
        <w:t>Any employee wishing to terminate the deduction shall be required to give 30 days’ notice in writing to the appointing authority of the department in which the employee works.</w:t>
      </w:r>
    </w:p>
    <w:p>
      <w:pPr>
        <w:spacing w:before="210" w:after="0"/>
        <w:ind w:left="120"/>
        <w:jc w:val="both"/>
      </w:pPr>
      <w:r>
        <w:rPr>
          <w:rFonts w:ascii="Times New Roman" w:hAnsi="Times New Roman"/>
          <w:b/>
          <w:i w:val="false"/>
          <w:color w:val="000000"/>
          <w:sz w:val="22"/>
        </w:rPr>
        <w:t>11—43.13</w:t>
      </w:r>
      <w:r>
        <w:rPr>
          <w:rFonts w:ascii="Times New Roman" w:hAnsi="Times New Roman"/>
          <w:b/>
          <w:i w:val="false"/>
          <w:color w:val="000000"/>
          <w:sz w:val="22"/>
        </w:rPr>
        <w:t xml:space="preserve">(70A) </w:t>
      </w:r>
      <w:r>
        <w:rPr>
          <w:rFonts w:ascii="Times New Roman" w:hAnsi="Times New Roman"/>
          <w:b/>
          <w:i w:val="false"/>
          <w:color w:val="000000"/>
          <w:sz w:val="22"/>
        </w:rPr>
        <w:t xml:space="preserve">Authorization forms. </w:t>
      </w:r>
      <w:r>
        <w:rPr>
          <w:rFonts w:ascii="Times New Roman" w:hAnsi="Times New Roman"/>
          <w:b w:val="false"/>
          <w:i w:val="false"/>
          <w:color w:val="000000"/>
          <w:sz w:val="22"/>
        </w:rPr>
        <w:t>All organizations authorized under this chapter shall be required to issue an annual authorization form to all participating state employees. Annual authorization forms will be required from participating employees. The authorization forms are to be given to the appointing authority of the department in which the employee works, and are to be filed in the employee’s individual file to substantiate the payroll deductions.</w:t>
      </w:r>
    </w:p>
    <w:p>
      <w:pPr>
        <w:spacing w:before="210" w:after="0"/>
        <w:ind w:left="120"/>
        <w:jc w:val="both"/>
      </w:pPr>
      <w:r>
        <w:rPr>
          <w:rFonts w:ascii="Times New Roman" w:hAnsi="Times New Roman"/>
          <w:b/>
          <w:i w:val="false"/>
          <w:color w:val="000000"/>
          <w:sz w:val="22"/>
        </w:rPr>
        <w:t>11—43.14</w:t>
      </w:r>
      <w:r>
        <w:rPr>
          <w:rFonts w:ascii="Times New Roman" w:hAnsi="Times New Roman"/>
          <w:b/>
          <w:i w:val="false"/>
          <w:color w:val="000000"/>
          <w:sz w:val="22"/>
        </w:rPr>
        <w:t xml:space="preserve">(70A) </w:t>
      </w:r>
      <w:r>
        <w:rPr>
          <w:rFonts w:ascii="Times New Roman" w:hAnsi="Times New Roman"/>
          <w:b/>
          <w:i w:val="false"/>
          <w:color w:val="000000"/>
          <w:sz w:val="22"/>
        </w:rPr>
        <w:t xml:space="preserve">State held harmless. </w:t>
      </w:r>
      <w:r>
        <w:rPr>
          <w:rFonts w:ascii="Times New Roman" w:hAnsi="Times New Roman"/>
          <w:b w:val="false"/>
          <w:i w:val="false"/>
          <w:color w:val="000000"/>
          <w:sz w:val="22"/>
        </w:rPr>
        <w:t>Charitable organizations shall indemnify and save the state harmless against any and all claims, demands, suits, or other forms of liability which may arise out of any action taken or not taken by the state for the purpose of complying with the provisions of this chapter.</w:t>
      </w:r>
    </w:p>
    <w:p>
      <w:pPr>
        <w:spacing w:before="210" w:after="0"/>
        <w:ind w:left="120"/>
        <w:jc w:val="both"/>
      </w:pPr>
      <w:r>
        <w:rPr>
          <w:rFonts w:ascii="Times New Roman" w:hAnsi="Times New Roman"/>
          <w:b/>
          <w:i w:val="false"/>
          <w:color w:val="000000"/>
          <w:sz w:val="22"/>
        </w:rPr>
        <w:t>11—43.15</w:t>
      </w:r>
      <w:r>
        <w:rPr>
          <w:rFonts w:ascii="Times New Roman" w:hAnsi="Times New Roman"/>
          <w:b/>
          <w:i w:val="false"/>
          <w:color w:val="000000"/>
          <w:sz w:val="22"/>
        </w:rPr>
        <w:t xml:space="preserve">(70A) </w:t>
      </w:r>
      <w:r>
        <w:rPr>
          <w:rFonts w:ascii="Times New Roman" w:hAnsi="Times New Roman"/>
          <w:b/>
          <w:i w:val="false"/>
          <w:color w:val="000000"/>
          <w:sz w:val="22"/>
        </w:rPr>
        <w:t xml:space="preserve">Remittance. </w:t>
      </w:r>
      <w:r>
        <w:rPr>
          <w:rFonts w:ascii="Times New Roman" w:hAnsi="Times New Roman"/>
          <w:b w:val="false"/>
          <w:i w:val="false"/>
          <w:color w:val="000000"/>
          <w:sz w:val="22"/>
        </w:rPr>
        <w:t>The administrator of the payroll system shall mail the monthly payment to each organization within ten working days after the last pay date of each calendar month. Support documentation shall be limited to a listing of employees and amount deducted.</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8">
        <w:r>
          <w:rPr>
            <w:rStyle w:val="Hyperlink"/>
            <w:rFonts w:ascii="Times New Roman" w:hAnsi="Times New Roman"/>
            <w:b w:val="false"/>
            <w:i w:val="false"/>
            <w:color w:val="000000"/>
            <w:sz w:val="22"/>
          </w:rPr>
          <w:t>70A.14</w:t>
        </w:r>
      </w:hyperlink>
      <w:r>
        <w:rPr>
          <w:rFonts w:ascii="Times New Roman" w:hAnsi="Times New Roman"/>
          <w:b w:val="false"/>
          <w:i w:val="false"/>
          <w:color w:val="000000"/>
          <w:sz w:val="22"/>
        </w:rPr>
        <w:t xml:space="preserve"> and </w:t>
      </w:r>
      <w:hyperlink r:id="rId9">
        <w:r>
          <w:rPr>
            <w:rStyle w:val="Hyperlink"/>
            <w:rFonts w:ascii="Times New Roman" w:hAnsi="Times New Roman"/>
            <w:b w:val="false"/>
            <w:i w:val="false"/>
            <w:color w:val="000000"/>
            <w:sz w:val="22"/>
          </w:rPr>
          <w:t>70A.15</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9/7/79 after Notices 6/13/79, 6/27/79,</w:t>
      </w:r>
    </w:p>
    <w:p>
      <w:pPr>
        <w:spacing w:before="0" w:after="0"/>
        <w:ind w:left="120"/>
        <w:jc w:val="center"/>
      </w:pPr>
      <w:r>
        <w:rPr>
          <w:rFonts w:ascii="Times New Roman" w:hAnsi="Times New Roman"/>
          <w:b w:val="false"/>
          <w:i w:val="false"/>
          <w:color w:val="000000"/>
          <w:sz w:val="21"/>
        </w:rPr>
        <w:t>8/8/79—published 10/3/79, effective 9/7/79]</w:t>
      </w:r>
    </w:p>
    <w:p>
      <w:pPr>
        <w:spacing w:before="0" w:after="0"/>
        <w:ind w:left="120"/>
        <w:jc w:val="center"/>
      </w:pPr>
      <w:r>
        <w:rPr>
          <w:rFonts w:ascii="Times New Roman" w:hAnsi="Times New Roman"/>
          <w:b w:val="false"/>
          <w:i w:val="false"/>
          <w:color w:val="000000"/>
          <w:sz w:val="21"/>
        </w:rPr>
        <w:t>[Filed emergency 11/14/86—published 12/17/86, effective 11/14/86]</w:t>
      </w:r>
    </w:p>
    <w:p>
      <w:pPr>
        <w:spacing w:before="0" w:after="0"/>
        <w:ind w:left="120"/>
        <w:jc w:val="center"/>
      </w:pPr>
      <w:r>
        <w:rPr>
          <w:rFonts w:ascii="Times New Roman" w:hAnsi="Times New Roman"/>
          <w:b w:val="false"/>
          <w:i w:val="false"/>
          <w:color w:val="000000"/>
          <w:sz w:val="21"/>
        </w:rPr>
        <w:t>[Filed 4/22/04, Notice 3/17/04—published 5/12/04, effective 6/16/04]</w:t>
      </w:r>
    </w:p>
    <w:p>
      <w:pPr>
        <w:spacing w:before="0" w:after="0"/>
        <w:ind w:left="120"/>
        <w:jc w:val="center"/>
      </w:pPr>
      <w:r>
        <w:rPr>
          <w:rFonts w:ascii="Times New Roman" w:hAnsi="Times New Roman"/>
          <w:b w:val="false"/>
          <w:i w:val="false"/>
          <w:color w:val="000000"/>
          <w:sz w:val="21"/>
        </w:rPr>
        <w:t>[Filed ARC 4134C</w:t>
      </w:r>
      <w:r>
        <w:rPr>
          <w:rFonts w:ascii="Times New Roman" w:hAnsi="Times New Roman"/>
          <w:b w:val="false"/>
          <w:i w:val="false"/>
          <w:color w:val="000000"/>
          <w:sz w:val="21"/>
        </w:rPr>
        <w:t xml:space="preserve"> (Notice ARC 4021C, IAB 9/26/18)</w:t>
      </w:r>
      <w:r>
        <w:rPr>
          <w:rFonts w:ascii="Times New Roman" w:hAnsi="Times New Roman"/>
          <w:b w:val="false"/>
          <w:i w:val="false"/>
          <w:color w:val="000000"/>
          <w:sz w:val="21"/>
        </w:rPr>
        <w:t>, IAB 11/21/18, effective 12/26/18]</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11.43.1.pdf" Type="http://schemas.openxmlformats.org/officeDocument/2006/relationships/hyperlink" Id="rId5"/>
    <Relationship TargetMode="External" Target="https://www.legis.iowa.gov/docs/iac/rule/11.43.2.pdf" Type="http://schemas.openxmlformats.org/officeDocument/2006/relationships/hyperlink" Id="rId6"/>
    <Relationship TargetMode="External" Target="https://www.legis.iowa.gov/docs/iac/rule/11.43.2.pdf" Type="http://schemas.openxmlformats.org/officeDocument/2006/relationships/hyperlink" Id="rId7"/>
    <Relationship TargetMode="External" Target="https://www.legis.iowa.gov/docs/ico/chapter/70A.14.pdf" Type="http://schemas.openxmlformats.org/officeDocument/2006/relationships/hyperlink" Id="rId8"/>
    <Relationship TargetMode="External" Target="https://www.legis.iowa.gov/docs/ico/chapter/70A.15.pdf" Type="http://schemas.openxmlformats.org/officeDocument/2006/relationships/hyperlink"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