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ACCOUNTING PROCEDURES OF PUBLIC IMPACT</w:t>
      </w:r>
    </w:p>
    <w:p>
      <w:pPr>
        <w:spacing w:before="0" w:after="0"/>
        <w:ind w:left="120"/>
        <w:jc w:val="center"/>
      </w:pPr>
      <w:r>
        <w:rPr>
          <w:rFonts w:ascii="Times New Roman" w:hAnsi="Times New Roman"/>
          <w:b w:val="false"/>
          <w:i w:val="false"/>
          <w:color w:val="000000"/>
          <w:sz w:val="14"/>
        </w:rPr>
        <w:t>[Prior to 5/12/04, see 701—Ch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11—42.1</w:t>
      </w:r>
      <w:r>
        <w:rPr>
          <w:rFonts w:ascii="Times New Roman" w:hAnsi="Times New Roman"/>
          <w:b/>
          <w:i w:val="false"/>
          <w:color w:val="000000"/>
          <w:sz w:val="22"/>
        </w:rPr>
        <w:t xml:space="preserve">(8A)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The department of administrative services, state accounting enterprise, is responsible for the payment of money due based on contracts with vendors for goods and services entered into by all state agencies and governmental subdivisions. Consequently, the department has implemented rules and policies to ease the administration of the payment of all obligations owed to third parties. The policies and procedures governing the payment of these obligations are set forth in the Department of Administrative Services, State Accounting Enterprise, Accounting Policies and Procedures Manual. This manual may be accessed at </w:t>
      </w:r>
      <w:hyperlink r:id="rId5">
        <w:r>
          <w:rPr>
            <w:rStyle w:val="Hyperlink"/>
            <w:rFonts w:ascii="Times New Roman" w:hAnsi="Times New Roman"/>
            <w:b w:val="false"/>
            <w:i w:val="false"/>
            <w:color w:val="000000"/>
            <w:sz w:val="22"/>
            <w:u w:val="single"/>
          </w:rPr>
          <w:t>das.iowa.gov</w:t>
        </w:r>
      </w:hyperlink>
      <w:r>
        <w:rPr>
          <w:rFonts w:ascii="Times New Roman" w:hAnsi="Times New Roman"/>
          <w:b w:val="false"/>
          <w:i w:val="false"/>
          <w:color w:val="000000"/>
          <w:sz w:val="22"/>
        </w:rPr>
        <w:t xml:space="preserve">, or copies of the appropriate provisions may be requested and obtained by mail from State Accounting Enterprise, Department of Administrative Services, Hoover State Office Building, Third Floor, Des Moines, Iowa 50319.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8A.502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das.iowa.gov" Type="http://schemas.openxmlformats.org/officeDocument/2006/relationships/hyperlink" Id="rId5"/>
    <Relationship TargetMode="External" Target="https://www.legis.iowa.gov/docs/ico/chapter/8A.50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