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AUDITING CLAIMS</w:t>
      </w:r>
    </w:p>
    <w:p>
      <w:pPr>
        <w:spacing w:before="0" w:after="0"/>
        <w:ind w:left="120"/>
        <w:jc w:val="center"/>
      </w:pPr>
      <w:r>
        <w:rPr>
          <w:rFonts w:ascii="Times New Roman" w:hAnsi="Times New Roman"/>
          <w:b w:val="false"/>
          <w:i w:val="false"/>
          <w:color w:val="000000"/>
          <w:sz w:val="14"/>
        </w:rPr>
        <w:t>[Prior to 12/17/86, see Comptroller, State[270] Ch 1]</w:t>
      </w:r>
    </w:p>
    <w:p>
      <w:pPr>
        <w:spacing w:before="0" w:after="0"/>
        <w:ind w:left="120"/>
        <w:jc w:val="center"/>
      </w:pPr>
      <w:r>
        <w:rPr>
          <w:rFonts w:ascii="Times New Roman" w:hAnsi="Times New Roman"/>
          <w:b w:val="false"/>
          <w:i w:val="false"/>
          <w:color w:val="000000"/>
          <w:sz w:val="14"/>
        </w:rPr>
        <w:t>[Prior to 5/12/04, see 701—Ch 201]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All vouchers and claims required by law to be audited by the department of administrative services, state accounting enterprise, should conform to the following rules.</w:t>
      </w:r>
    </w:p>
    <w:p>
      <w:pPr>
        <w:spacing w:before="0" w:after="0"/>
        <w:ind w:left="120"/>
        <w:jc w:val="both"/>
      </w:pPr>
      <w:r>
        <w:rPr>
          <w:rFonts w:ascii="Times New Roman" w:hAnsi="Times New Roman"/>
          <w:b/>
          <w:i w:val="false"/>
          <w:color w:val="000000"/>
          <w:sz w:val="22"/>
        </w:rPr>
        <w:t>11—41.1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and approval. </w:t>
      </w:r>
      <w:r>
        <w:rPr>
          <w:rFonts w:ascii="Times New Roman" w:hAnsi="Times New Roman"/>
          <w:b w:val="false"/>
          <w:i w:val="false"/>
          <w:color w:val="000000"/>
          <w:sz w:val="22"/>
        </w:rPr>
        <w:t>All claims shall be typewritten, or written in ink, and be itemized and certified by the claimant.</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claimant’s certification is not needed when the original invoice is attached to the claim. The original invoice shall indicate in detail the items of service, expense, thing furnished, or contract upon which payment is sought.</w:t>
      </w:r>
    </w:p>
    <w:p>
      <w:pPr>
        <w:spacing w:before="0" w:after="0"/>
        <w:ind w:left="120"/>
        <w:jc w:val="both"/>
      </w:pPr>
      <w:r>
        <w:rPr>
          <w:rFonts w:ascii="Times New Roman" w:hAnsi="Times New Roman"/>
          <w:b w:val="false"/>
          <w:i w:val="false"/>
          <w:color w:val="000000"/>
          <w:sz w:val="22"/>
        </w:rPr>
        <w:t xml:space="preserve">Approval of the claim shall be certified thereon by the head of the state agency, or the deputy, or the chair of the board or commission or its executive officer, or by a person delegated by the head of the state agency to fulfill this responsibility. A list of authorized signators shall be provided to the department of administrative services, state accounting enterprise. </w:t>
      </w:r>
    </w:p>
    <w:p>
      <w:pPr>
        <w:spacing w:before="0" w:after="0"/>
        <w:ind w:left="120"/>
        <w:jc w:val="both"/>
      </w:pPr>
      <w:r>
        <w:rPr>
          <w:rFonts w:ascii="Times New Roman" w:hAnsi="Times New Roman"/>
          <w:b w:val="false"/>
          <w:i w:val="false"/>
          <w:color w:val="000000"/>
          <w:sz w:val="22"/>
        </w:rPr>
        <w:t>All travel claims submitted shall be the actual expense incurred (not exceeding maximum limitations) by the claimant, and shall not include expenses paid for other individuals, or for the purchase of miscellaneous items which are not needed in the performance of official duties while traveling. All travel vouchers shall contain the vendor/customer code of the employee or other individual identification (with prior written approval by the department of administrative services, state accounting enterprise).</w:t>
      </w:r>
    </w:p>
    <w:p>
      <w:pPr>
        <w:spacing w:before="0" w:after="0"/>
        <w:ind w:left="120"/>
        <w:jc w:val="both"/>
      </w:pPr>
      <w:r>
        <w:rPr>
          <w:rFonts w:ascii="Times New Roman" w:hAnsi="Times New Roman"/>
          <w:b w:val="false"/>
          <w:i w:val="false"/>
          <w:color w:val="000000"/>
          <w:sz w:val="22"/>
        </w:rPr>
        <w:t>All claims shall show in the space provided the Iowa Code reference for the appropriation or fund from which the claim is payable.</w:t>
      </w:r>
    </w:p>
    <w:p>
      <w:pPr>
        <w:spacing w:before="0" w:after="0"/>
        <w:ind w:left="120"/>
        <w:jc w:val="both"/>
      </w:pPr>
      <w:r>
        <w:rPr>
          <w:rFonts w:ascii="Times New Roman" w:hAnsi="Times New Roman"/>
          <w:b w:val="false"/>
          <w:i w:val="false"/>
          <w:color w:val="000000"/>
          <w:sz w:val="22"/>
        </w:rPr>
        <w:t>When an original invoice is submitted by a vendor, rather than the claimant signing the voucher, the vendor shall provide the state agency with an original invoice that the vendor would use in the normal conduct of its business. A state agency shall not impose additional or different requirements on submission of invoices than those contained in these rules unless the department of administrative services, state accounting enterprise, exempts the agency from these invoice requirements upon a finding that compliance would result in poor accounting or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Interest on claims. </w:t>
      </w:r>
      <w:r>
        <w:rPr>
          <w:rFonts w:ascii="Times New Roman" w:hAnsi="Times New Roman"/>
          <w:b w:val="false"/>
          <w:i w:val="false"/>
          <w:color w:val="000000"/>
          <w:sz w:val="22"/>
        </w:rPr>
        <w:t xml:space="preserve">For any claim received for services, supplies, materials or a contract which is payable from the state treasury that remains unpaid after 60 days following the receipt of the claim or the satisfactory delivery, furnishing or performance of the services, supplies, materials or contract, whichever date is later, the state shall pay interest at the rate of 1 percent per month on the unpaid amount of the claim. Agencies may enter into written contracts for goods and services on payment terms of less than 60 days if the state may obtain a financial benefit or incentive which would not otherwise be available from the vendor. All agencies entering into written contracts for goods and services on payment terms of less than 60 days shall maintain written documentation demonstrating that the agency obtained a financial benefit or incentive which would not otherwise have been available from the vendor. This subrule does not apply to claims against the state under Iowa Code chapters </w:t>
      </w:r>
      <w:hyperlink r:id="rId5">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or the claims paid by federal funds. The interest shall be charged to the appropriation or fund to which the claim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rules. </w:t>
      </w:r>
      <w:r>
        <w:rPr>
          <w:rFonts w:ascii="Times New Roman" w:hAnsi="Times New Roman"/>
          <w:b w:val="false"/>
          <w:i w:val="false"/>
          <w:color w:val="000000"/>
          <w:sz w:val="22"/>
        </w:rPr>
        <w:t>All state agencies are required to mail the number of copies of the proposed rule as requested to the state office of a trade or occupational association which has registered its name and address with the agency. The trade or occupational association shall reimburse the agency for the actual cost incurred in providing the copies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color w:val="000000"/>
          <w:sz w:val="22"/>
        </w:rPr>
        <w:t xml:space="preserve">Property claims and real estate claims. </w:t>
      </w:r>
      <w:r>
        <w:rPr>
          <w:rFonts w:ascii="Times New Roman" w:hAnsi="Times New Roman"/>
          <w:b w:val="false"/>
          <w:i w:val="false"/>
          <w:color w:val="000000"/>
          <w:sz w:val="22"/>
        </w:rPr>
        <w:t>Claims for personal property sold, the acquisition of real estate, or services rendered to the state must have the original invoices or other documentation attached whenever possible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color w:val="000000"/>
          <w:sz w:val="22"/>
        </w:rPr>
        <w:t xml:space="preserve">Form for travel claim. </w:t>
      </w:r>
      <w:r>
        <w:rPr>
          <w:rFonts w:ascii="Times New Roman" w:hAnsi="Times New Roman"/>
          <w:b w:val="false"/>
          <w:i w:val="false"/>
          <w:color w:val="000000"/>
          <w:sz w:val="22"/>
        </w:rPr>
        <w:t>All travel claims are to be on a travel voucher or on a form approved (in writing) by the department of administrative services, state accounting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color w:val="000000"/>
          <w:sz w:val="22"/>
        </w:rPr>
        <w:t xml:space="preserve">Intradepartmental rules on claims. </w:t>
      </w:r>
      <w:r>
        <w:rPr>
          <w:rFonts w:ascii="Times New Roman" w:hAnsi="Times New Roman"/>
          <w:b w:val="false"/>
          <w:i w:val="false"/>
          <w:color w:val="000000"/>
          <w:sz w:val="22"/>
        </w:rPr>
        <w:t>All intradepartmental rules pertaining to the auditing of claims internally shall be subject to the review and approval (in writing) of the department of administrative services, state accounting enterprise.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3002C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11—41.2</w:t>
      </w:r>
      <w:r>
        <w:rPr>
          <w:rFonts w:ascii="Times New Roman" w:hAnsi="Times New Roman"/>
          <w:b/>
          <w:i w:val="false"/>
          <w:color w:val="000000"/>
          <w:sz w:val="22"/>
        </w:rPr>
        <w:t xml:space="preserve">(8A) </w:t>
      </w:r>
      <w:r>
        <w:rPr>
          <w:rFonts w:ascii="Times New Roman" w:hAnsi="Times New Roman"/>
          <w:b/>
          <w:i w:val="false"/>
          <w:color w:val="000000"/>
          <w:sz w:val="22"/>
        </w:rPr>
        <w:t xml:space="preserve">Official travel.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color w:val="000000"/>
          <w:sz w:val="22"/>
        </w:rPr>
        <w:t xml:space="preserve">Personal funds to be supplied. </w:t>
      </w:r>
      <w:r>
        <w:rPr>
          <w:rFonts w:ascii="Times New Roman" w:hAnsi="Times New Roman"/>
          <w:b w:val="false"/>
          <w:i w:val="false"/>
          <w:color w:val="000000"/>
          <w:sz w:val="22"/>
        </w:rPr>
        <w:t xml:space="preserve">All employees shall provide themselves with sufficient funds for all current expenses. See subrules </w:t>
      </w:r>
      <w:hyperlink r:id="rId9">
        <w:r>
          <w:rPr>
            <w:rStyle w:val="Hyperlink"/>
            <w:rFonts w:ascii="Times New Roman" w:hAnsi="Times New Roman"/>
            <w:b w:val="false"/>
            <w:i w:val="false"/>
            <w:color w:val="000000"/>
            <w:sz w:val="22"/>
          </w:rPr>
          <w:t>41.2(3)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41.2(4)</w:t>
        </w:r>
      </w:hyperlink>
      <w:r>
        <w:rPr>
          <w:rFonts w:ascii="Times New Roman" w:hAnsi="Times New Roman"/>
          <w:b w:val="false"/>
          <w:i w:val="false"/>
          <w:color w:val="000000"/>
          <w:sz w:val="22"/>
        </w:rPr>
        <w:t xml:space="preserve"> regarding travel advances.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color w:val="000000"/>
          <w:sz w:val="22"/>
        </w:rPr>
        <w:t xml:space="preserve">Reimbursable expenses and travel allowances. </w:t>
      </w:r>
      <w:r>
        <w:rPr>
          <w:rFonts w:ascii="Times New Roman" w:hAnsi="Times New Roman"/>
          <w:b w:val="false"/>
          <w:i w:val="false"/>
          <w:color w:val="000000"/>
          <w:sz w:val="22"/>
        </w:rPr>
        <w:t>The reimbursement allowed shall be limited to an allowance for subsistence and transportation, and other actual and necessary travel expenses incurred by a traveler in the performance of official duties subject to applicable limitations. All travel reimbursements shall be made on the basis of the usually traveled route.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color w:val="000000"/>
          <w:sz w:val="22"/>
        </w:rPr>
        <w:t xml:space="preserve">Travel advance. </w:t>
      </w:r>
      <w:r>
        <w:rPr>
          <w:rFonts w:ascii="Times New Roman" w:hAnsi="Times New Roman"/>
          <w:b w:val="false"/>
          <w:i w:val="false"/>
          <w:color w:val="000000"/>
          <w:sz w:val="22"/>
        </w:rPr>
        <w:t>State employees who are required to travel out of state may apply for a travel advance if the anticipated out-of-pocket expenses are in excess of $200. An advance may not exceed 80 percent of the anticipated expenses. In addition, employees shall comply with the conditions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travel advance shall be deducted from the expense voucher submitted by the employee upon completion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for any reason an employee does not make the anticipated trip, the travel advance shall be immediately returned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employee shall give the department of administrative services, state accounting enterprise, authority to recover funds owed the state (through payroll deduction) which have not been repaid within 30 days of completion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state accounting enterprise, reserves the right to refuse advances when funds are currently owed the state or when there have been prior abuses.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color w:val="000000"/>
          <w:sz w:val="22"/>
        </w:rPr>
        <w:t xml:space="preserve">Permanent in-state travel advance. </w:t>
      </w:r>
      <w:r>
        <w:rPr>
          <w:rFonts w:ascii="Times New Roman" w:hAnsi="Times New Roman"/>
          <w:b w:val="false"/>
          <w:i w:val="false"/>
          <w:color w:val="000000"/>
          <w:sz w:val="22"/>
        </w:rPr>
        <w:t xml:space="preserve">State employees who are not covered by collective bargaining agreements negotiated under the provisions of Iowa Code chapter </w:t>
      </w:r>
      <w:hyperlink r:id="rId11">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may be eligible for a permanent in-state travel advance if they meet and agree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whose in-state travel expense reimbursements average between $100 and $150 per month for the preceding 12 months shall receive upon written request a permanent travel allowance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whose in-state travel expense reimbursements average over $150 per month for the preceding 12 months shall receive upon written request a permanent travel allowance of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state accounting enterprise, shall have authority to deduct the permanent travel advance from the employee’s last paychecks upon separation from state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state accounting enterprise, and employing agency reserve the right to review the employee’s monthly travel expenses and should the employee fail to meet the above requirements, or become ineligible due to a change in duties or job assignment, the advance will be withdrawn (through payroll deduction) following proper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color w:val="000000"/>
          <w:sz w:val="22"/>
        </w:rPr>
        <w:t xml:space="preserve">Official domicile defined.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Office employee. </w:t>
      </w:r>
      <w:r>
        <w:rPr>
          <w:rFonts w:ascii="Times New Roman" w:hAnsi="Times New Roman"/>
          <w:b w:val="false"/>
          <w:i w:val="false"/>
          <w:color w:val="000000"/>
          <w:sz w:val="22"/>
        </w:rPr>
        <w:t>The official domicile of an officer or employee assigned to an office is the city, town or metropolitan area (as established by the department of administrative services, state accounting enterprise) within which such office is located. Transportation costs between the employee’s residence and office, and subsistence within the limits of an employee’s official domicile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Field employees. </w:t>
      </w:r>
      <w:r>
        <w:rPr>
          <w:rFonts w:ascii="Times New Roman" w:hAnsi="Times New Roman"/>
          <w:b w:val="false"/>
          <w:i w:val="false"/>
          <w:color w:val="000000"/>
          <w:sz w:val="22"/>
        </w:rPr>
        <w:t>The official domicile of field employees shall be designated by the administrative head of the state agency. Subsistence within the limits of an employee’s official domicile shall not be allowed. No transportation costs will be allowed between the employee’s place of residence and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Nonreimbursable travel. </w:t>
      </w:r>
      <w:r>
        <w:rPr>
          <w:rFonts w:ascii="Times New Roman" w:hAnsi="Times New Roman"/>
          <w:b w:val="false"/>
          <w:i w:val="false"/>
          <w:color w:val="000000"/>
          <w:sz w:val="22"/>
        </w:rPr>
        <w:t>When additional expense is incurred by reason of an employee residing in a city or town other than the employee’s official domicile, the additional expense is otherwise caused by an employee’s choice of residence, and is not reimbursable.</w:t>
      </w:r>
    </w:p>
    <w:p>
      <w:pPr>
        <w:spacing w:before="0" w:after="0"/>
        <w:ind w:left="120"/>
        <w:jc w:val="both"/>
      </w:pPr>
      <w:r>
        <w:rPr>
          <w:rFonts w:ascii="Times New Roman" w:hAnsi="Times New Roman"/>
          <w:b/>
          <w:i w:val="false"/>
          <w:color w:val="000000"/>
          <w:sz w:val="22"/>
        </w:rPr>
        <w:t>11—41.3</w:t>
      </w:r>
      <w:r>
        <w:rPr>
          <w:rFonts w:ascii="Times New Roman" w:hAnsi="Times New Roman"/>
          <w:b/>
          <w:i w:val="false"/>
          <w:color w:val="000000"/>
          <w:sz w:val="22"/>
        </w:rPr>
        <w:t xml:space="preserve">(8A) </w:t>
      </w:r>
      <w:r>
        <w:rPr>
          <w:rFonts w:ascii="Times New Roman" w:hAnsi="Times New Roman"/>
          <w:b/>
          <w:i w:val="false"/>
          <w:color w:val="000000"/>
          <w:sz w:val="22"/>
        </w:rPr>
        <w:t xml:space="preserve">Temporary duty assignment.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Subsistence while on temporary duty assignment. </w:t>
      </w:r>
      <w:r>
        <w:rPr>
          <w:rFonts w:ascii="Times New Roman" w:hAnsi="Times New Roman"/>
          <w:b w:val="false"/>
          <w:i w:val="false"/>
          <w:color w:val="000000"/>
          <w:sz w:val="22"/>
        </w:rPr>
        <w:t>When an employee is on temporary duty assignment, subsistence may be allowed for each day (including Saturdays, Sundays and holidays) from the time of departure from the employee’s official domicile until the employee’s return to the previous official domicile or a newly assigned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Weekends. </w:t>
      </w:r>
      <w:r>
        <w:rPr>
          <w:rFonts w:ascii="Times New Roman" w:hAnsi="Times New Roman"/>
          <w:b w:val="false"/>
          <w:i w:val="false"/>
          <w:color w:val="000000"/>
          <w:sz w:val="22"/>
        </w:rPr>
        <w:t>When authorized by the administrative head of the agency or the designated representative, an employee who is on temporary duty status will be reimbursed for expenses involved while returning home for the weekend provided the amount, including transportation, does not exceed the amount that would have been allowable had the claimant remained at the temporary duty station.</w:t>
      </w:r>
    </w:p>
    <w:p>
      <w:pPr>
        <w:spacing w:before="0" w:after="0"/>
        <w:ind w:left="120"/>
        <w:jc w:val="both"/>
      </w:pPr>
      <w:r>
        <w:rPr>
          <w:rFonts w:ascii="Times New Roman" w:hAnsi="Times New Roman"/>
          <w:b/>
          <w:i w:val="false"/>
          <w:color w:val="000000"/>
          <w:sz w:val="22"/>
        </w:rPr>
        <w:t>11—41.4</w:t>
      </w:r>
      <w:r>
        <w:rPr>
          <w:rFonts w:ascii="Times New Roman" w:hAnsi="Times New Roman"/>
          <w:b/>
          <w:i w:val="false"/>
          <w:color w:val="000000"/>
          <w:sz w:val="22"/>
        </w:rPr>
        <w:t xml:space="preserve">(8A) </w:t>
      </w:r>
      <w:r>
        <w:rPr>
          <w:rFonts w:ascii="Times New Roman" w:hAnsi="Times New Roman"/>
          <w:b/>
          <w:i w:val="false"/>
          <w:color w:val="000000"/>
          <w:sz w:val="22"/>
        </w:rPr>
        <w:t xml:space="preserve">Authorization for travel.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Approval by administrative head of the agency. </w:t>
      </w:r>
      <w:r>
        <w:rPr>
          <w:rFonts w:ascii="Times New Roman" w:hAnsi="Times New Roman"/>
          <w:b w:val="false"/>
          <w:i w:val="false"/>
          <w:color w:val="000000"/>
          <w:sz w:val="22"/>
        </w:rPr>
        <w:t>All official travel shall be authorized by the administrative head of the agency or the designated representative, prior to the travel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Out of state. </w:t>
      </w:r>
      <w:r>
        <w:rPr>
          <w:rFonts w:ascii="Times New Roman" w:hAnsi="Times New Roman"/>
          <w:b w:val="false"/>
          <w:i w:val="false"/>
          <w:color w:val="000000"/>
          <w:sz w:val="22"/>
        </w:rPr>
        <w:t>Official travel out of the state for any executive branch employee must receive prior electronic authorization on the Travel Department Authorization form from the administrative head of the agency or the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Requests for out-of-state travel. </w:t>
      </w:r>
      <w:r>
        <w:rPr>
          <w:rFonts w:ascii="Times New Roman" w:hAnsi="Times New Roman"/>
          <w:b w:val="false"/>
          <w:i w:val="false"/>
          <w:color w:val="000000"/>
          <w:sz w:val="22"/>
        </w:rPr>
        <w:t xml:space="preserve">All requests for out-of-state travel shall be on a form approved by the administrative head of the agency and shall include information required by Iowa Code section </w:t>
      </w:r>
      <w:hyperlink r:id="rId12">
        <w:r>
          <w:rPr>
            <w:rStyle w:val="Hyperlink"/>
            <w:rFonts w:ascii="Times New Roman" w:hAnsi="Times New Roman"/>
            <w:b w:val="false"/>
            <w:i w:val="false"/>
            <w:color w:val="000000"/>
            <w:sz w:val="22"/>
          </w:rPr>
          <w:t>8A.512A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Most economical or advantageous mode of travel. </w:t>
      </w:r>
      <w:r>
        <w:rPr>
          <w:rFonts w:ascii="Times New Roman" w:hAnsi="Times New Roman"/>
          <w:b w:val="false"/>
          <w:i w:val="false"/>
          <w:color w:val="000000"/>
          <w:sz w:val="22"/>
        </w:rPr>
        <w:t>Reimbursement for transportation approved by the administrative head of the agency or the designated representative shall be for the most economical or advantageous mode and by the usually traveled route.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6236C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11—41.5</w:t>
      </w:r>
      <w:r>
        <w:rPr>
          <w:rFonts w:ascii="Times New Roman" w:hAnsi="Times New Roman"/>
          <w:b/>
          <w:i w:val="false"/>
          <w:color w:val="000000"/>
          <w:sz w:val="22"/>
        </w:rPr>
        <w:t xml:space="preserve">(8A) </w:t>
      </w:r>
      <w:r>
        <w:rPr>
          <w:rFonts w:ascii="Times New Roman" w:hAnsi="Times New Roman"/>
          <w:b/>
          <w:i w:val="false"/>
          <w:color w:val="000000"/>
          <w:sz w:val="22"/>
        </w:rPr>
        <w:t xml:space="preserve">Mode of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Airline travel accommodations. </w:t>
      </w:r>
      <w:r>
        <w:rPr>
          <w:rFonts w:ascii="Times New Roman" w:hAnsi="Times New Roman"/>
          <w:b w:val="false"/>
          <w:i w:val="false"/>
          <w:color w:val="000000"/>
          <w:sz w:val="22"/>
        </w:rPr>
        <w:t>When the administrative head of the agency or the designated representative determines that airline travel is the most economical or advantageous to the state, the use of airline travel may be authorized. The most economical mode of airline travel is considered to be coach or economy class,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Train travel. </w:t>
      </w:r>
      <w:r>
        <w:rPr>
          <w:rFonts w:ascii="Times New Roman" w:hAnsi="Times New Roman"/>
          <w:b w:val="false"/>
          <w:i w:val="false"/>
          <w:color w:val="000000"/>
          <w:sz w:val="22"/>
        </w:rPr>
        <w:t>In cases where train travel is utilized, the most economical mode shall be considered coach fare,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Purchase of tickets.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shall develop internal policies so that agencies purchase or direct their employees to purchase tickets from the source determined by the agency to be the best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tickets purchased, it shall be the employee’s responsibility to purchase the ticket for whatever mode of transportation that is determined to be the most economical. Reimbursement will be made by attaching a receipt to the employee travel voucher. Refunds received on any unused portion of the ticket shall be shown and deducted from the original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Use of privately owned vehicle. </w:t>
      </w:r>
      <w:r>
        <w:rPr>
          <w:rFonts w:ascii="Times New Roman" w:hAnsi="Times New Roman"/>
          <w:b w:val="false"/>
          <w:i w:val="false"/>
          <w:color w:val="000000"/>
          <w:sz w:val="22"/>
        </w:rPr>
        <w:t xml:space="preserve">Authorized use of a privately owned vehicle for travel on official state business will be subject to rule </w:t>
      </w:r>
      <w:hyperlink r:id="rId13">
        <w:r>
          <w:rPr>
            <w:rStyle w:val="Hyperlink"/>
            <w:rFonts w:ascii="Times New Roman" w:hAnsi="Times New Roman"/>
            <w:b w:val="false"/>
            <w:i w:val="false"/>
            <w:color w:val="000000"/>
            <w:sz w:val="22"/>
          </w:rPr>
          <w:t>11—103.4</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In state. </w:t>
      </w:r>
      <w:r>
        <w:rPr>
          <w:rFonts w:ascii="Times New Roman" w:hAnsi="Times New Roman"/>
          <w:b w:val="false"/>
          <w:i w:val="false"/>
          <w:color w:val="000000"/>
          <w:sz w:val="22"/>
        </w:rPr>
        <w:t xml:space="preserve">Where use of a privately owned vehicle is authorized by rule </w:t>
      </w:r>
      <w:hyperlink r:id="rId14">
        <w:r>
          <w:rPr>
            <w:rStyle w:val="Hyperlink"/>
            <w:rFonts w:ascii="Times New Roman" w:hAnsi="Times New Roman"/>
            <w:b w:val="false"/>
            <w:i w:val="false"/>
            <w:color w:val="000000"/>
            <w:sz w:val="22"/>
          </w:rPr>
          <w:t>11—103.4</w:t>
        </w:r>
      </w:hyperlink>
      <w:r>
        <w:rPr>
          <w:rFonts w:ascii="Times New Roman" w:hAnsi="Times New Roman"/>
          <w:b w:val="false"/>
          <w:i w:val="false"/>
          <w:color w:val="000000"/>
          <w:sz w:val="22"/>
        </w:rPr>
        <w:t xml:space="preserve">(8A), reimbursement shall be on a mileage basis at a rate established by the director pursuant to Iowa Code section </w:t>
      </w:r>
      <w:hyperlink r:id="rId15">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 xml:space="preserve">. Reimbursement for travel at the official domicile will be reimbursed at a rate (established by the director pursuant to Iowa Code section </w:t>
      </w:r>
      <w:hyperlink r:id="rId16">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 per mile if the purpose of the travel is official business. The per-mile reimbursement includes all costs incurred in connection with the operation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 of state. </w:t>
      </w:r>
      <w:r>
        <w:rPr>
          <w:rFonts w:ascii="Times New Roman" w:hAnsi="Times New Roman"/>
          <w:b w:val="false"/>
          <w:i w:val="false"/>
          <w:color w:val="000000"/>
          <w:sz w:val="22"/>
        </w:rPr>
        <w:t>If the traveler desires to use a personally owned vehicle instead of common carrier and it is authorized by the administrative head of the agency or the designated representative, the cost of mileage (not to exceed airfare) to the destination’s nearest air terminal, plus expenses incurred to final destination and subsistence allowance en route will be allowed. Out-of-state subsistence allowance will be allowed only for the number of meals and nights lodging which would have been necessary had the traveler used the available public transportation to destination instead of a private vehicle. Taxi or mileage expenses will be allowed at the destination if the expenses are incurred while the traveler is on official business.</w:t>
      </w:r>
    </w:p>
    <w:p>
      <w:pPr>
        <w:spacing w:before="0" w:after="0"/>
        <w:ind w:left="120"/>
        <w:jc w:val="both"/>
      </w:pPr>
      <w:r>
        <w:rPr>
          <w:rFonts w:ascii="Times New Roman" w:hAnsi="Times New Roman"/>
          <w:b w:val="false"/>
          <w:i w:val="false"/>
          <w:color w:val="000000"/>
          <w:sz w:val="22"/>
        </w:rPr>
        <w:t>If two or more travelers on official business travel in one privately owned vehicle instead of common carrier, the use of one vehicle may be authorized on a mileage basis not to exceed the statutory limit per 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Mileage while on temporary duty assignment. </w:t>
      </w:r>
      <w:r>
        <w:rPr>
          <w:rFonts w:ascii="Times New Roman" w:hAnsi="Times New Roman"/>
          <w:b w:val="false"/>
          <w:i w:val="false"/>
          <w:color w:val="000000"/>
          <w:sz w:val="22"/>
        </w:rPr>
        <w:t>In general, mileage for use of privately owned vehicles may be allowed for travel within the area of temporary duty, if approved by the administrative head of the agency, provided a state-owned vehicle is not available. When a privately owned vehicle is authorized in the transaction of official business within the area or in the vicinity of the city to which the traveler is assigned or directed, the traveler shall show on the travel claim the number of miles of vicinity travel for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Assignment of more than one employee to a vehicle. </w:t>
      </w:r>
      <w:r>
        <w:rPr>
          <w:rFonts w:ascii="Times New Roman" w:hAnsi="Times New Roman"/>
          <w:b w:val="false"/>
          <w:i w:val="false"/>
          <w:color w:val="000000"/>
          <w:sz w:val="22"/>
        </w:rPr>
        <w:t>In authorizing the use of privately owned or state-owned vehicles, the administrative head of the agency or the designated representative shall, whenever possible, assign more than one employee to the use of one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mileage. </w:t>
      </w:r>
      <w:r>
        <w:rPr>
          <w:rFonts w:ascii="Times New Roman" w:hAnsi="Times New Roman"/>
          <w:b w:val="false"/>
          <w:i w:val="false"/>
          <w:color w:val="000000"/>
          <w:sz w:val="22"/>
        </w:rPr>
        <w:t>The travel shall be by the usually traveled route. Mileage shall be based on published mileage. Any variation from the published mileage should be documented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Use of buses, street cars, limousines and rental cars. </w:t>
      </w:r>
      <w:r>
        <w:rPr>
          <w:rFonts w:ascii="Times New Roman" w:hAnsi="Times New Roman"/>
          <w:b w:val="false"/>
          <w:i w:val="false"/>
          <w:color w:val="000000"/>
          <w:sz w:val="22"/>
        </w:rPr>
        <w:t>When buses, street cars, limousines, or rental cars are used for official travel within the official station or city to which a traveler is directed, the traveler shall show the cost of the fares in the “miscellaneous” column of the travel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41.5(9)</w:t>
      </w:r>
      <w:r>
        <w:rPr>
          <w:rFonts w:ascii="Times New Roman" w:hAnsi="Times New Roman"/>
          <w:b w:val="false"/>
          <w:i w:val="false"/>
          <w:color w:val="000000"/>
          <w:sz w:val="22"/>
        </w:rPr>
        <w:t> </w:t>
      </w:r>
      <w:r>
        <w:rPr>
          <w:rFonts w:ascii="Times New Roman" w:hAnsi="Times New Roman"/>
          <w:b w:val="false"/>
          <w:i/>
          <w:color w:val="000000"/>
          <w:sz w:val="22"/>
        </w:rPr>
        <w:t xml:space="preserve">Abode and point of duty in interstate travel. </w:t>
      </w:r>
      <w:r>
        <w:rPr>
          <w:rFonts w:ascii="Times New Roman" w:hAnsi="Times New Roman"/>
          <w:b w:val="false"/>
          <w:i w:val="false"/>
          <w:color w:val="000000"/>
          <w:sz w:val="22"/>
        </w:rPr>
        <w:t>Insofar as official interstate travel is concerned, the employee’s hotel may be considered a point of official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w:t>
      </w:r>
      <w:r>
        <w:rPr>
          <w:rFonts w:ascii="Times New Roman" w:hAnsi="Times New Roman"/>
          <w:b w:val="false"/>
          <w:i w:val="false"/>
          <w:color w:val="000000"/>
          <w:sz w:val="22"/>
        </w:rPr>
        <w:t> </w:t>
      </w:r>
      <w:r>
        <w:rPr>
          <w:rFonts w:ascii="Times New Roman" w:hAnsi="Times New Roman"/>
          <w:b w:val="false"/>
          <w:i/>
          <w:color w:val="000000"/>
          <w:sz w:val="22"/>
        </w:rPr>
        <w:t xml:space="preserve">Taxicabs. </w:t>
      </w:r>
      <w:r>
        <w:rPr>
          <w:rFonts w:ascii="Times New Roman" w:hAnsi="Times New Roman"/>
          <w:b w:val="false"/>
          <w:i w:val="false"/>
          <w:color w:val="000000"/>
          <w:sz w:val="22"/>
        </w:rPr>
        <w:t>Taxicab charges shall be allowed only from regular domicile or place of business to station or other terminal; from station or terminal at origin of destination of trip to hotel or domicile or place of business; or between bus, rail or plane stations or terminals or other points of official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Home-travel from and to. </w:t>
      </w:r>
      <w:r>
        <w:rPr>
          <w:rFonts w:ascii="Times New Roman" w:hAnsi="Times New Roman"/>
          <w:b w:val="false"/>
          <w:i w:val="false"/>
          <w:color w:val="000000"/>
          <w:sz w:val="22"/>
        </w:rPr>
        <w:t>Actual taxi or common carrier fares shall be allowed for transportation directly from home of traveler to railroad, bus or airport terminals at the beginning of official travel status and for transportation directly from railroad, bus or airport terminals to home of traveler at conclusion of official travel status. The maximum reimbursement will be the current cost of taxi fare from the capitol to the Des Moines airport.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Rental or charter of special conveyances. </w:t>
      </w:r>
      <w:r>
        <w:rPr>
          <w:rFonts w:ascii="Times New Roman" w:hAnsi="Times New Roman"/>
          <w:b w:val="false"/>
          <w:i w:val="false"/>
          <w:color w:val="000000"/>
          <w:sz w:val="22"/>
        </w:rPr>
        <w:t>The rental or charter of aircraft, automobiles, boats, buses, or other special conveyances shall be held to a minimum but may be authorized in those cases when no public or ordinary means of transportation is available, or when such public or ordinary means of transportation cannot be used advantageously in the best interest of the state. Specific justification shall accompany the voucher in each instance where the use of special conveyance is authorized and shall include information such as the location where special conveyance commenced, and the points visited. The department of administrative services, state accounting enterprise, may require a comparison of costs between public or ordinary means of transportation compared to the cost of special conveyance.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6236C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11—41.6</w:t>
      </w:r>
      <w:r>
        <w:rPr>
          <w:rFonts w:ascii="Times New Roman" w:hAnsi="Times New Roman"/>
          <w:b/>
          <w:i w:val="false"/>
          <w:color w:val="000000"/>
          <w:sz w:val="22"/>
        </w:rPr>
        <w:t xml:space="preserve">(8A) </w:t>
      </w:r>
      <w:r>
        <w:rPr>
          <w:rFonts w:ascii="Times New Roman" w:hAnsi="Times New Roman"/>
          <w:b/>
          <w:i w:val="false"/>
          <w:color w:val="000000"/>
          <w:sz w:val="22"/>
        </w:rPr>
        <w:t xml:space="preserve">Subsistence allowance.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The phrase “subsistence allowance.” </w:t>
      </w:r>
      <w:r>
        <w:rPr>
          <w:rFonts w:ascii="Times New Roman" w:hAnsi="Times New Roman"/>
          <w:b w:val="false"/>
          <w:i w:val="false"/>
          <w:color w:val="000000"/>
          <w:sz w:val="22"/>
        </w:rPr>
        <w:t>The phrase “subsistence allowance” used herein shall be construed to include all charges (including applicable taxes) for meals and lodging (single rate only). Charges for radios, television, and similar appliances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Subsistence allowances for in-state travel—monetary and time limitations. </w:t>
      </w:r>
      <w:r>
        <w:rPr>
          <w:rFonts w:ascii="Times New Roman" w:hAnsi="Times New Roman"/>
          <w:b w:val="false"/>
          <w:i w:val="false"/>
          <w:color w:val="000000"/>
          <w:sz w:val="22"/>
        </w:rPr>
        <w:t>Officers and employees shall be allowed overnight lodging and meal expense when required to travel outside of the city of their official domicile. The amounts shall not exceed the limits established in the department of administrative services, state accounting enterprise, procedure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Rescinded, effective February 19,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Rescinded, effective February 19,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Subsistence allowances for out-of-state travel—monetary and time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Lodging and meal expenses are not limited outside the state but the incurred expenditures are to be reasonable. Receipts for lodging are to accompany the claim and show the dates, room number, occupants, and amount per night. Lodging will be limited to the night preceding and the night of the ending date of the convention or meeting. Elected officials are not required to furnish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Meals will be limited to lunch and dinner the day preceding and breakfast and lunch the day after the meeting.</w:t>
      </w:r>
    </w:p>
    <w:p>
      <w:pPr>
        <w:spacing w:before="0" w:after="0"/>
        <w:ind w:left="120"/>
        <w:jc w:val="both"/>
      </w:pPr>
      <w:r>
        <w:rPr>
          <w:rFonts w:ascii="Times New Roman" w:hAnsi="Times New Roman"/>
          <w:b/>
          <w:i w:val="false"/>
          <w:color w:val="000000"/>
          <w:sz w:val="22"/>
        </w:rPr>
        <w:t>11—41.7</w:t>
      </w:r>
      <w:r>
        <w:rPr>
          <w:rFonts w:ascii="Times New Roman" w:hAnsi="Times New Roman"/>
          <w:b/>
          <w:i w:val="false"/>
          <w:color w:val="000000"/>
          <w:sz w:val="22"/>
        </w:rPr>
        <w:t xml:space="preserve">(8A) </w:t>
      </w:r>
      <w:r>
        <w:rPr>
          <w:rFonts w:ascii="Times New Roman" w:hAnsi="Times New Roman"/>
          <w:b/>
          <w:i w:val="false"/>
          <w:color w:val="000000"/>
          <w:sz w:val="22"/>
        </w:rPr>
        <w:t xml:space="preserve">Miscellaneous expense.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Miscellaneous expenses are those deemed necessary in the conduct of official business of the state which are not included in the categories of subsistence, mileage, and state-owned vehicle operation. All miscellaneous expenses shall be claimed under the column heading “miscellaneous expense” on the travel claim and be supported by sufficient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Receipts. </w:t>
      </w:r>
      <w:r>
        <w:rPr>
          <w:rFonts w:ascii="Times New Roman" w:hAnsi="Times New Roman"/>
          <w:b w:val="false"/>
          <w:i w:val="false"/>
          <w:color w:val="000000"/>
          <w:sz w:val="22"/>
        </w:rPr>
        <w:t>A receipt for, or explanation of, each and every transaction involving miscellaneous expenditures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Baggage. </w:t>
      </w:r>
      <w:r>
        <w:rPr>
          <w:rFonts w:ascii="Times New Roman" w:hAnsi="Times New Roman"/>
          <w:b w:val="false"/>
          <w:i w:val="false"/>
          <w:color w:val="000000"/>
          <w:sz w:val="22"/>
        </w:rPr>
        <w:t>Charges for baggage in excess of the weight or of the size carried free by transportation companies shall be allowed if the baggage is used for official business. Charges for the storage of baggage may also be allowed if it is shown that such storage was on account of official business. Specific justification must be submitted with the claim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Purchase of supplies. </w:t>
      </w:r>
      <w:r>
        <w:rPr>
          <w:rFonts w:ascii="Times New Roman" w:hAnsi="Times New Roman"/>
          <w:b w:val="false"/>
          <w:i w:val="false"/>
          <w:color w:val="000000"/>
          <w:sz w:val="22"/>
        </w:rPr>
        <w:t>The purchase of stationery and all other similar supplies shall be allowed in emergencies warranting their use for handling of official business while on official travel, and shall be submitted and certified on a travel voucher (or other approved form) with the proper receipts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Parking. </w:t>
      </w:r>
      <w:r>
        <w:rPr>
          <w:rFonts w:ascii="Times New Roman" w:hAnsi="Times New Roman"/>
          <w:b w:val="false"/>
          <w:i w:val="false"/>
          <w:color w:val="000000"/>
          <w:sz w:val="22"/>
        </w:rPr>
        <w:t>Parking will be allowed for state and private cars at an airport during the employee’s flight.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The payment of registration fees which are required for participation in meetings shall be allowed. Registration fees shall be supported by the official receipt of the conference or convention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for payment of registration fees for the purpose of obtaining the privileges of membership or other personal benefits from an organization are not reimbursable. Memberships in organizations must be in the name of the state agency and have approval of the director of the department or designated representative requesting the membership and shall be published to the Iowa transparency Internet site established by Iowa Code section </w:t>
      </w:r>
      <w:hyperlink r:id="rId17">
        <w:r>
          <w:rPr>
            <w:rStyle w:val="Hyperlink"/>
            <w:rFonts w:ascii="Times New Roman" w:hAnsi="Times New Roman"/>
            <w:b w:val="false"/>
            <w:i w:val="false"/>
            <w:color w:val="000000"/>
            <w:sz w:val="22"/>
          </w:rPr>
          <w:t>8G.4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Registration fees paid by the traveler will be claimed for reimbursement as a miscellaneous nonsubsistence expense and a receipt must be attached to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registration fees, at the official domicile, may require prior written approval of the department of administrative services, state accounting enterprise.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0636C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6236C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11—41.8</w:t>
      </w:r>
      <w:r>
        <w:rPr>
          <w:rFonts w:ascii="Times New Roman" w:hAnsi="Times New Roman"/>
          <w:b/>
          <w:i w:val="false"/>
          <w:color w:val="000000"/>
          <w:sz w:val="22"/>
        </w:rPr>
        <w:t xml:space="preserve">(8A) </w:t>
      </w:r>
      <w:r>
        <w:rPr>
          <w:rFonts w:ascii="Times New Roman" w:hAnsi="Times New Roman"/>
          <w:b/>
          <w:i w:val="false"/>
          <w:color w:val="000000"/>
          <w:sz w:val="22"/>
        </w:rPr>
        <w:t xml:space="preserve">State-owned vehicle. </w:t>
      </w:r>
      <w:r>
        <w:rPr>
          <w:rFonts w:ascii="Times New Roman" w:hAnsi="Times New Roman"/>
          <w:b w:val="false"/>
          <w:i w:val="false"/>
          <w:color w:val="000000"/>
          <w:sz w:val="22"/>
        </w:rPr>
        <w:t>Any expense other than parking should not be claimed on the expense voucher but should be reimbursed through procedures established by fleet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18">
        <w:r>
          <w:rPr>
            <w:rStyle w:val="Hyperlink"/>
            <w:rFonts w:ascii="Times New Roman" w:hAnsi="Times New Roman"/>
            <w:b w:val="false"/>
            <w:i w:val="false"/>
            <w:color w:val="000000"/>
            <w:sz w:val="22"/>
          </w:rPr>
          <w:t>11—41.2(8A)</w:t>
        </w:r>
      </w:hyperlink>
      <w:r>
        <w:rPr>
          <w:rFonts w:ascii="Times New Roman" w:hAnsi="Times New Roman"/>
          <w:b w:val="false"/>
          <w:i w:val="false"/>
          <w:color w:val="000000"/>
          <w:sz w:val="22"/>
        </w:rPr>
        <w:t xml:space="preserve"> to </w:t>
      </w:r>
      <w:hyperlink r:id="rId19">
        <w:r>
          <w:rPr>
            <w:rStyle w:val="Hyperlink"/>
            <w:rFonts w:ascii="Times New Roman" w:hAnsi="Times New Roman"/>
            <w:b w:val="false"/>
            <w:i w:val="false"/>
            <w:color w:val="000000"/>
            <w:sz w:val="22"/>
          </w:rPr>
          <w:t>11—41.8</w:t>
        </w:r>
      </w:hyperlink>
      <w:r>
        <w:rPr>
          <w:rFonts w:ascii="Times New Roman" w:hAnsi="Times New Roman"/>
          <w:b w:val="false"/>
          <w:i w:val="false"/>
          <w:color w:val="000000"/>
          <w:sz w:val="22"/>
        </w:rPr>
        <w:t xml:space="preserve">(8A) are intended to implement Iowa Code sections </w:t>
      </w:r>
      <w:hyperlink r:id="rId20">
        <w:r>
          <w:rPr>
            <w:rStyle w:val="Hyperlink"/>
            <w:rFonts w:ascii="Times New Roman" w:hAnsi="Times New Roman"/>
            <w:b w:val="false"/>
            <w:i w:val="false"/>
            <w:color w:val="000000"/>
            <w:sz w:val="22"/>
          </w:rPr>
          <w:t>8A.506 to 8A.519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2/16/66; amended 2/9/71, 12/12/73, 7/5/74, 12/23/74]</w:t>
      </w:r>
    </w:p>
    <w:p>
      <w:pPr>
        <w:spacing w:before="0" w:after="0"/>
        <w:ind w:left="120"/>
        <w:jc w:val="center"/>
      </w:pPr>
      <w:r>
        <w:rPr>
          <w:rFonts w:ascii="Times New Roman" w:hAnsi="Times New Roman"/>
          <w:b w:val="false"/>
          <w:i w:val="false"/>
          <w:color w:val="000000"/>
          <w:sz w:val="21"/>
        </w:rPr>
        <w:t>[Filed without Notice 11/1/76—published 11/17/76, effective 1/1/77]</w:t>
      </w:r>
    </w:p>
    <w:p>
      <w:pPr>
        <w:spacing w:before="0" w:after="0"/>
        <w:ind w:left="120"/>
        <w:jc w:val="center"/>
      </w:pPr>
      <w:r>
        <w:rPr>
          <w:rFonts w:ascii="Times New Roman" w:hAnsi="Times New Roman"/>
          <w:b w:val="false"/>
          <w:i w:val="false"/>
          <w:color w:val="000000"/>
          <w:sz w:val="21"/>
        </w:rPr>
        <w:t>[Filed emergency 8/1/77—published 8/24/77, effective 8/1/77]</w:t>
      </w:r>
    </w:p>
    <w:p>
      <w:pPr>
        <w:spacing w:before="0" w:after="0"/>
        <w:ind w:left="120"/>
        <w:jc w:val="center"/>
      </w:pPr>
      <w:r>
        <w:rPr>
          <w:rFonts w:ascii="Times New Roman" w:hAnsi="Times New Roman"/>
          <w:b w:val="false"/>
          <w:i w:val="false"/>
          <w:color w:val="000000"/>
          <w:sz w:val="21"/>
        </w:rPr>
        <w:t>[Filed 12/12/77, Notice 8/24/77—published 12/28/77, effective 2/1/78]</w:t>
      </w:r>
    </w:p>
    <w:p>
      <w:pPr>
        <w:spacing w:before="0" w:after="0"/>
        <w:ind w:left="120"/>
        <w:jc w:val="center"/>
      </w:pPr>
      <w:r>
        <w:rPr>
          <w:rFonts w:ascii="Times New Roman" w:hAnsi="Times New Roman"/>
          <w:b w:val="false"/>
          <w:i w:val="false"/>
          <w:color w:val="000000"/>
          <w:sz w:val="21"/>
        </w:rPr>
        <w:t>[Filed emergency 6/22/79—published 7/11/79, effective 7/1/79]</w:t>
      </w:r>
    </w:p>
    <w:p>
      <w:pPr>
        <w:spacing w:before="0" w:after="0"/>
        <w:ind w:left="120"/>
        <w:jc w:val="center"/>
      </w:pPr>
      <w:r>
        <w:rPr>
          <w:rFonts w:ascii="Times New Roman" w:hAnsi="Times New Roman"/>
          <w:b w:val="false"/>
          <w:i w:val="false"/>
          <w:color w:val="000000"/>
          <w:sz w:val="21"/>
        </w:rPr>
        <w:t>[Filed 9/26/79, Notice 7/11/79—published 10/17/79, effective 11/21/79]</w:t>
      </w:r>
    </w:p>
    <w:p>
      <w:pPr>
        <w:spacing w:before="0" w:after="0"/>
        <w:ind w:left="120"/>
        <w:jc w:val="center"/>
      </w:pPr>
      <w:r>
        <w:rPr>
          <w:rFonts w:ascii="Times New Roman" w:hAnsi="Times New Roman"/>
          <w:b w:val="false"/>
          <w:i w:val="false"/>
          <w:color w:val="000000"/>
          <w:sz w:val="21"/>
        </w:rPr>
        <w:t>[Filed emergency 6/29/83—published 7/20/83, effective 7/1/83]</w:t>
      </w:r>
    </w:p>
    <w:p>
      <w:pPr>
        <w:spacing w:before="0" w:after="0"/>
        <w:ind w:left="120"/>
        <w:jc w:val="center"/>
      </w:pPr>
      <w:r>
        <w:rPr>
          <w:rFonts w:ascii="Times New Roman" w:hAnsi="Times New Roman"/>
          <w:b w:val="false"/>
          <w:i w:val="false"/>
          <w:color w:val="000000"/>
          <w:sz w:val="21"/>
        </w:rPr>
        <w:t>[Filed 8/26/83, Notice 7/20/83—published 9/14/83, effective 1/1/84]</w:t>
      </w:r>
    </w:p>
    <w:p>
      <w:pPr>
        <w:spacing w:before="0" w:after="0"/>
        <w:ind w:left="120"/>
        <w:jc w:val="center"/>
      </w:pPr>
      <w:r>
        <w:rPr>
          <w:rFonts w:ascii="Times New Roman" w:hAnsi="Times New Roman"/>
          <w:b w:val="false"/>
          <w:i w:val="false"/>
          <w:color w:val="000000"/>
          <w:sz w:val="21"/>
        </w:rPr>
        <w:t>[Filed 12/27/85, Notice 11/20/85—published 1/15/86, effective 2/19/86]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3/31/99, Notice 2/24/99—published 4/21/99, effective 5/26/99]</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emergency 12/15/04 after Notice 11/10/04—published 1/5/05, effective 1/1/05]</w:t>
      </w:r>
    </w:p>
    <w:p>
      <w:pPr>
        <w:spacing w:before="0" w:after="0"/>
        <w:ind w:left="120"/>
        <w:jc w:val="center"/>
      </w:pPr>
      <w:r>
        <w:rPr>
          <w:rFonts w:ascii="Times New Roman" w:hAnsi="Times New Roman"/>
          <w:b w:val="false"/>
          <w:i w:val="false"/>
          <w:color w:val="000000"/>
          <w:sz w:val="21"/>
        </w:rPr>
        <w:t>[Filed ARC 0636C</w:t>
      </w:r>
      <w:r>
        <w:rPr>
          <w:rFonts w:ascii="Times New Roman" w:hAnsi="Times New Roman"/>
          <w:b w:val="false"/>
          <w:i w:val="false"/>
          <w:color w:val="000000"/>
          <w:sz w:val="21"/>
        </w:rPr>
        <w:t xml:space="preserve"> (Notice ARC 0553C, IAB 1/9/13)</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3002C</w:t>
      </w:r>
      <w:r>
        <w:rPr>
          <w:rFonts w:ascii="Times New Roman" w:hAnsi="Times New Roman"/>
          <w:b w:val="false"/>
          <w:i w:val="false"/>
          <w:color w:val="000000"/>
          <w:sz w:val="21"/>
        </w:rPr>
        <w:t xml:space="preserve"> (Notice ARC 2790C, IAB 10/26/16)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6236C</w:t>
      </w:r>
      <w:r>
        <w:rPr>
          <w:rFonts w:ascii="Times New Roman" w:hAnsi="Times New Roman"/>
          <w:b w:val="false"/>
          <w:i w:val="false"/>
          <w:color w:val="000000"/>
          <w:sz w:val="21"/>
        </w:rPr>
        <w:t xml:space="preserve"> (Notice ARC 5981C, IAB 10/20/21)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pdf" Type="http://schemas.openxmlformats.org/officeDocument/2006/relationships/hyperlink" Id="rId5"/>
    <Relationship TargetMode="External" Target="https://www.legis.iowa.gov/docs/ico/chapter/669.pdf" Type="http://schemas.openxmlformats.org/officeDocument/2006/relationships/hyperlink" Id="rId6"/>
    <Relationship TargetMode="External" Target="https://www.legis.iowa.gov/docs/ico/chapter/8A.51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11.41.2.pdf" Type="http://schemas.openxmlformats.org/officeDocument/2006/relationships/hyperlink" Id="rId9"/>
    <Relationship TargetMode="External" Target="https://www.legis.iowa.gov/docs/iac/rule/11.41.2.pdf" Type="http://schemas.openxmlformats.org/officeDocument/2006/relationships/hyperlink" Id="rId10"/>
    <Relationship TargetMode="External" Target="https://www.legis.iowa.gov/docs/ico/chapter/20.pdf" Type="http://schemas.openxmlformats.org/officeDocument/2006/relationships/hyperlink" Id="rId11"/>
    <Relationship TargetMode="External" Target="https://www.legis.iowa.gov/docs/ico/chapter/8A.512A.pdf" Type="http://schemas.openxmlformats.org/officeDocument/2006/relationships/hyperlink" Id="rId12"/>
    <Relationship TargetMode="External" Target="https://www.legis.iowa.gov/docs/iac/rule/11.103.4.pdf" Type="http://schemas.openxmlformats.org/officeDocument/2006/relationships/hyperlink" Id="rId13"/>
    <Relationship TargetMode="External" Target="https://www.legis.iowa.gov/docs/iac/rule/11.103.4.pdf" Type="http://schemas.openxmlformats.org/officeDocument/2006/relationships/hyperlink" Id="rId14"/>
    <Relationship TargetMode="External" Target="https://www.legis.iowa.gov/docs/ico/chapter/8A.363.pdf" Type="http://schemas.openxmlformats.org/officeDocument/2006/relationships/hyperlink" Id="rId15"/>
    <Relationship TargetMode="External" Target="https://www.legis.iowa.gov/docs/ico/chapter/8A.363.pdf" Type="http://schemas.openxmlformats.org/officeDocument/2006/relationships/hyperlink" Id="rId16"/>
    <Relationship TargetMode="External" Target="https://www.legis.iowa.gov/docs/ico/chapter/8G.4.pdf" Type="http://schemas.openxmlformats.org/officeDocument/2006/relationships/hyperlink" Id="rId17"/>
    <Relationship TargetMode="External" Target="https://www.legis.iowa.gov/docs/iac/rule/11.41.2.pdf" Type="http://schemas.openxmlformats.org/officeDocument/2006/relationships/hyperlink" Id="rId18"/>
    <Relationship TargetMode="External" Target="https://www.legis.iowa.gov/docs/iac/rule/11.41.8.pdf" Type="http://schemas.openxmlformats.org/officeDocument/2006/relationships/hyperlink" Id="rId19"/>
    <Relationship TargetMode="External" Target="https://www.legis.iowa.gov/docs/ico/chapter/8A.506-519.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