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120</w:t>
      </w:r>
    </w:p>
    <w:p>
      <w:pPr>
        <w:spacing w:before="0" w:after="0"/>
        <w:ind w:left="120"/>
        <w:jc w:val="center"/>
      </w:pPr>
      <w:r>
        <w:rPr>
          <w:rFonts w:ascii="Times New Roman" w:hAnsi="Times New Roman"/>
          <w:b w:val="false"/>
          <w:i w:val="false"/>
          <w:color w:val="000000"/>
          <w:sz w:val="21"/>
        </w:rPr>
        <w:t>CONTRACTUAL LIMITATION OF VENDOR LIABILITY PROVISIONS</w:t>
      </w:r>
    </w:p>
    <w:p>
      <w:pPr>
        <w:spacing w:before="0" w:after="0"/>
        <w:ind w:left="120"/>
        <w:jc w:val="center"/>
      </w:pPr>
      <w:r>
        <w:rPr>
          <w:rFonts w:ascii="Times New Roman" w:hAnsi="Times New Roman"/>
          <w:b w:val="false"/>
          <w:i w:val="false"/>
          <w:color w:val="000000"/>
          <w:sz w:val="14"/>
        </w:rPr>
        <w:t>[Prior to 8/21/13, see 11—Chapter 108]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These rules define the process for the department to follow when contracting for information technology goods and services. The rules allow the department to enter into contractual agreements that, in certain instances, will limit the liability of the vendor.</w:t>
      </w:r>
    </w:p>
    <w:p>
      <w:pPr>
        <w:spacing w:before="0" w:after="0"/>
        <w:ind w:left="120"/>
        <w:jc w:val="both"/>
      </w:pPr>
      <w:r>
        <w:rPr>
          <w:rFonts w:ascii="Times New Roman" w:hAnsi="Times New Roman"/>
          <w:b/>
          <w:i w:val="false"/>
          <w:color w:val="000000"/>
          <w:sz w:val="22"/>
        </w:rPr>
        <w:t>11—120.1</w:t>
      </w:r>
      <w:r>
        <w:rPr>
          <w:rFonts w:ascii="Times New Roman" w:hAnsi="Times New Roman"/>
          <w:b/>
          <w:i w:val="false"/>
          <w:color w:val="000000"/>
          <w:sz w:val="22"/>
        </w:rPr>
        <w:t xml:space="preserve">(8A)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8A.311(21)</w:t>
        </w:r>
      </w:hyperlink>
      <w:r>
        <w:rPr>
          <w:rFonts w:ascii="Times New Roman" w:hAnsi="Times New Roman"/>
          <w:b w:val="false"/>
          <w:i w:val="false"/>
          <w:color w:val="000000"/>
          <w:sz w:val="22"/>
        </w:rPr>
        <w:t>, these rules provide for authorizing information technology procurements containing a contractual limitation of vendor liability as provided for and set forth in the documents initiating the procurement. The department of administrative services adopted these rules in cooperation with the department of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11—120.2</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6">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7">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8">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head” </w:t>
      </w:r>
      <w:r>
        <w:rPr>
          <w:rFonts w:ascii="Times New Roman" w:hAnsi="Times New Roman"/>
          <w:b w:val="false"/>
          <w:i w:val="false"/>
          <w:color w:val="000000"/>
          <w:sz w:val="22"/>
        </w:rPr>
        <w:t>means the director, commissioner, or other official in charge of a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w:t>
      </w:r>
      <w:r>
        <w:rPr>
          <w:rFonts w:ascii="Times New Roman" w:hAnsi="Times New Roman"/>
          <w:b w:val="false"/>
          <w:i w:val="false"/>
          <w:color w:val="000000"/>
          <w:sz w:val="22"/>
        </w:rPr>
        <w:t xml:space="preserve">means a formal or informal process engaged in by a state agency to compare provider qualifications, terms, conditions, and prices of equal or similar goods or services in order to meet the objective of purchasing goods or services based on quality, performance, price, or any combination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documents” </w:t>
      </w:r>
      <w:r>
        <w:rPr>
          <w:rFonts w:ascii="Times New Roman" w:hAnsi="Times New Roman"/>
          <w:b w:val="false"/>
          <w:i w:val="false"/>
          <w:color w:val="000000"/>
          <w:sz w:val="22"/>
        </w:rPr>
        <w:t>means documents prepared for a competitive selection by the department or an agency to purchase goods and services. Competitive selection documents may include requests for proposal, invitations to bid, or any other type of document the department or an agency is authorized to use that is designed to procure a good or service for state government. A competitive selection document may be an electronic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device” </w:t>
      </w:r>
      <w:r>
        <w:rPr>
          <w:rFonts w:ascii="Times New Roman" w:hAnsi="Times New Roman"/>
          <w:b w:val="false"/>
          <w:i w:val="false"/>
          <w:color w:val="000000"/>
          <w:sz w:val="22"/>
        </w:rPr>
        <w:t>means equipment or associated software, including programs, languages, procedures, or associated documentation designed for the utilization or processing of information stored in an electronic format. “Information technology device” includes but is not limited to computer systems, computer networks, and equipment used for input, output, processing, storage, display, scanning, and printing.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procurement” </w:t>
      </w:r>
      <w:r>
        <w:rPr>
          <w:rFonts w:ascii="Times New Roman" w:hAnsi="Times New Roman"/>
          <w:b w:val="false"/>
          <w:i w:val="false"/>
          <w:color w:val="000000"/>
          <w:sz w:val="22"/>
        </w:rPr>
        <w:t>means a procurement for goods or services in which the predominant factor, thrust, and purpose of the procurement as reasonably stated is for the purchase of information technology devices or information technology services. Information technology procurements do not include procurements for goods or services in which the purchase of information technology devices or information technology services is an incidental, minor or limited part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services” </w:t>
      </w:r>
      <w:r>
        <w:rPr>
          <w:rFonts w:ascii="Times New Roman" w:hAnsi="Times New Roman"/>
          <w:b w:val="false"/>
          <w:i w:val="false"/>
          <w:color w:val="000000"/>
          <w:sz w:val="22"/>
        </w:rPr>
        <w:t>means services designed to do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functions, maintenance, and support of information technology devices.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services for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Computer systems application development and maintenance.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Systems integration and interoperability.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Operating systems maintenance and design.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Computer systems programming.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Computer systems software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Planning and security related to information technology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Data management consultation.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Information technology education and consulting.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Information technology planning and standards.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Establishment of local area network and workstation management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11—120.3</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applies to information technology procurements conducted by the department, including information technology procurements the department conducts on behalf of another state agency. When the department is conducting an information technology procurement on behalf of another state agency and the procurement exposes the state to risks for which the contractual limitation of vendor liability outlined in rule </w:t>
      </w:r>
      <w:hyperlink r:id="rId9">
        <w:r>
          <w:rPr>
            <w:rStyle w:val="Hyperlink"/>
            <w:rFonts w:ascii="Times New Roman" w:hAnsi="Times New Roman"/>
            <w:b w:val="false"/>
            <w:i w:val="false"/>
            <w:color w:val="000000"/>
            <w:sz w:val="22"/>
          </w:rPr>
          <w:t>11—120.5</w:t>
        </w:r>
      </w:hyperlink>
      <w:r>
        <w:rPr>
          <w:rFonts w:ascii="Times New Roman" w:hAnsi="Times New Roman"/>
          <w:b w:val="false"/>
          <w:i w:val="false"/>
          <w:color w:val="000000"/>
          <w:sz w:val="22"/>
        </w:rPr>
        <w:t xml:space="preserve">(8A) is not appropriate, the agency head of the other state agency shall make the decisions regarding contractual limitation of vendor liability outlined in subrule </w:t>
      </w:r>
      <w:hyperlink r:id="rId10">
        <w:r>
          <w:rPr>
            <w:rStyle w:val="Hyperlink"/>
            <w:rFonts w:ascii="Times New Roman" w:hAnsi="Times New Roman"/>
            <w:b w:val="false"/>
            <w:i w:val="false"/>
            <w:color w:val="000000"/>
            <w:sz w:val="22"/>
          </w:rPr>
          <w:t>120.4(2)</w:t>
        </w:r>
      </w:hyperlink>
      <w:r>
        <w:rPr>
          <w:rFonts w:ascii="Times New Roman" w:hAnsi="Times New Roman"/>
          <w:b w:val="false"/>
          <w:i w:val="false"/>
          <w:color w:val="000000"/>
          <w:sz w:val="22"/>
        </w:rPr>
        <w:t>. This chapter does not apply to procurements conducted by another state agency on its own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11—120.4</w:t>
      </w:r>
      <w:r>
        <w:rPr>
          <w:rFonts w:ascii="Times New Roman" w:hAnsi="Times New Roman"/>
          <w:b/>
          <w:i w:val="false"/>
          <w:color w:val="000000"/>
          <w:sz w:val="22"/>
        </w:rPr>
        <w:t xml:space="preserve">(8A) </w:t>
      </w:r>
      <w:r>
        <w:rPr>
          <w:rFonts w:ascii="Times New Roman" w:hAnsi="Times New Roman"/>
          <w:b/>
          <w:i w:val="false"/>
          <w:color w:val="000000"/>
          <w:sz w:val="22"/>
        </w:rPr>
        <w:t xml:space="preserve">Authorization of limitation of vendor liability and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w:t>
      </w:r>
      <w:r>
        <w:rPr>
          <w:rFonts w:ascii="Times New Roman" w:hAnsi="Times New Roman"/>
          <w:b w:val="false"/>
          <w:i w:val="false"/>
          <w:color w:val="000000"/>
          <w:sz w:val="22"/>
        </w:rPr>
        <w:t> </w:t>
      </w:r>
      <w:r>
        <w:rPr>
          <w:rFonts w:ascii="Times New Roman" w:hAnsi="Times New Roman"/>
          <w:b w:val="false"/>
          <w:i/>
          <w:color w:val="000000"/>
          <w:sz w:val="22"/>
        </w:rPr>
        <w:t xml:space="preserve">General approach. </w:t>
      </w:r>
      <w:r>
        <w:rPr>
          <w:rFonts w:ascii="Times New Roman" w:hAnsi="Times New Roman"/>
          <w:b w:val="false"/>
          <w:i w:val="false"/>
          <w:color w:val="000000"/>
          <w:sz w:val="22"/>
        </w:rPr>
        <w:t>The director, in consultation with the department of management, may authorize the procurement of information technology devices and services in which a contractual limitation of vendor liability is provided for. Criteria for determining whether to permit a contractual limitation of vendor liability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authorizing a contractual limitation of vendor liability is necessary to prevent harm to the state from a failure to obtain the goods or services sought, from obtaining the goods or services at a higher price if the state refuses to allow a contractual limitation of vendor liability, or when the result could be a lower quality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contractual limitation of vendor liability is commercially reasonable when taking into account any risk to the state created by the goods or services to be procured and the purpose for which they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w:t>
      </w:r>
      <w:r>
        <w:rPr>
          <w:rFonts w:ascii="Times New Roman" w:hAnsi="Times New Roman"/>
          <w:b w:val="false"/>
          <w:i w:val="false"/>
          <w:color w:val="000000"/>
          <w:sz w:val="22"/>
        </w:rPr>
        <w:t> </w:t>
      </w:r>
      <w:r>
        <w:rPr>
          <w:rFonts w:ascii="Times New Roman" w:hAnsi="Times New Roman"/>
          <w:b w:val="false"/>
          <w:i/>
          <w:color w:val="000000"/>
          <w:sz w:val="22"/>
        </w:rPr>
        <w:t xml:space="preserve">Special circumstances. </w:t>
      </w:r>
      <w:r>
        <w:rPr>
          <w:rFonts w:ascii="Times New Roman" w:hAnsi="Times New Roman"/>
          <w:b w:val="false"/>
          <w:i w:val="false"/>
          <w:color w:val="000000"/>
          <w:sz w:val="22"/>
        </w:rPr>
        <w:t xml:space="preserve">Certain information technology procurements of information technology devices and services expose the state to risks for which the contractual limitation of vendor liability outlined in rule </w:t>
      </w:r>
      <w:hyperlink r:id="rId11">
        <w:r>
          <w:rPr>
            <w:rStyle w:val="Hyperlink"/>
            <w:rFonts w:ascii="Times New Roman" w:hAnsi="Times New Roman"/>
            <w:b w:val="false"/>
            <w:i w:val="false"/>
            <w:color w:val="000000"/>
            <w:sz w:val="22"/>
          </w:rPr>
          <w:t>11—120.5</w:t>
        </w:r>
      </w:hyperlink>
      <w:r>
        <w:rPr>
          <w:rFonts w:ascii="Times New Roman" w:hAnsi="Times New Roman"/>
          <w:b w:val="false"/>
          <w:i w:val="false"/>
          <w:color w:val="000000"/>
          <w:sz w:val="22"/>
        </w:rPr>
        <w:t xml:space="preserve">(8A) is not appropriate. The department or applicable agency for which the department is conducting the procurement shall review the risks presented by the particular information technology procurement before initiating the procurement. When either the department or the applicable agency believes a particular information technology procurement may expose the state to risks for which the contractual limitation of vendor liability outlined in rule </w:t>
      </w:r>
      <w:hyperlink r:id="rId12">
        <w:r>
          <w:rPr>
            <w:rStyle w:val="Hyperlink"/>
            <w:rFonts w:ascii="Times New Roman" w:hAnsi="Times New Roman"/>
            <w:b w:val="false"/>
            <w:i w:val="false"/>
            <w:color w:val="000000"/>
            <w:sz w:val="22"/>
          </w:rPr>
          <w:t>11—120.5</w:t>
        </w:r>
      </w:hyperlink>
      <w:r>
        <w:rPr>
          <w:rFonts w:ascii="Times New Roman" w:hAnsi="Times New Roman"/>
          <w:b w:val="false"/>
          <w:i w:val="false"/>
          <w:color w:val="000000"/>
          <w:sz w:val="22"/>
        </w:rPr>
        <w:t>(8A) is not appropriate, the department or applicable agency shall identify the risks and identify the steps the department or applicable agency believes may help to mitigate the risks. The director or the applicable agency head shall consult with the department of management to determine whether a higher limit of the vendor’s contractual liability is appropriate. This determination shall occur before the department issues the competitive selection documents, and the competitive selection documents issued in the procurement shall include the higher limitation on the vendor’s contractual liability that the director or the applicable agency head and the department of management have determined to be appropriate for the procurement under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These rules do not apply to procurements for devices or services procured under a federal tariff or using federal funds, if the federal agency providing the funds imposes any requirements regarding limitation of liability provisions in the resulting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11—120.5</w:t>
      </w:r>
      <w:r>
        <w:rPr>
          <w:rFonts w:ascii="Times New Roman" w:hAnsi="Times New Roman"/>
          <w:b/>
          <w:i w:val="false"/>
          <w:color w:val="000000"/>
          <w:sz w:val="22"/>
        </w:rPr>
        <w:t xml:space="preserve">(8A) </w:t>
      </w:r>
      <w:r>
        <w:rPr>
          <w:rFonts w:ascii="Times New Roman" w:hAnsi="Times New Roman"/>
          <w:b/>
          <w:i w:val="false"/>
          <w:color w:val="000000"/>
          <w:sz w:val="22"/>
        </w:rPr>
        <w:t xml:space="preserve">Prohibited limitation of vendor liability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information technology procurements, the director authorizes the competitive selection documents and the resulting contract to include a contractual limitation of vendor liability clause that limits the vendor’s liability to one times the contract value, as defined in subrule </w:t>
      </w:r>
      <w:hyperlink r:id="rId13">
        <w:r>
          <w:rPr>
            <w:rStyle w:val="Hyperlink"/>
            <w:rFonts w:ascii="Times New Roman" w:hAnsi="Times New Roman"/>
            <w:b w:val="false"/>
            <w:i w:val="false"/>
            <w:color w:val="000000"/>
            <w:sz w:val="22"/>
          </w:rPr>
          <w:t>120.5(3)</w:t>
        </w:r>
      </w:hyperlink>
      <w:r>
        <w:rPr>
          <w:rFonts w:ascii="Times New Roman" w:hAnsi="Times New Roman"/>
          <w:b w:val="false"/>
          <w:i w:val="false"/>
          <w:color w:val="000000"/>
          <w:sz w:val="22"/>
        </w:rPr>
        <w:t>, provided that the foregoing limitation shall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Intentional torts, criminal acts, fraudulent conduct, intentional or willful misconduct, or gross negligence.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Claims related to death, bodily injury, or damage to real or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contractual obligations of the vendor pertaining to indemnification, intellectual property, liquidated damages, compliance with applicable laws, or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Claims arising under provisions of the contract calling for indemnification of the state for third-party claims against the state for bodily injury to persons or for damage to real or tangible personal property caused by the vendor’s negligence or willful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information technology procurements, the director authorizes the competitive selection documents and the resulting contract to include a contractual limitation of vendor liability clause that limits the vendor’s liability for consequential, incidental, indirect, special, or punitive damages to the extent the vendor’s liability for such damages does not arise out of the items identified in paragraphs </w:t>
      </w:r>
      <w:hyperlink r:id="rId14">
        <w:r>
          <w:rPr>
            <w:rStyle w:val="Hyperlink"/>
            <w:rFonts w:ascii="Times New Roman" w:hAnsi="Times New Roman"/>
            <w:b w:val="false"/>
            <w:i w:val="false"/>
            <w:color w:val="000000"/>
            <w:sz w:val="22"/>
          </w:rPr>
          <w:t>120.5(1)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120.5(3)</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 “contract value” means the aggregate total compensation pertaining to a specific project paid by the state to the vendor under the entire term of the contract including all renewals and extensions.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11—120.6</w:t>
      </w:r>
      <w:r>
        <w:rPr>
          <w:rFonts w:ascii="Times New Roman" w:hAnsi="Times New Roman"/>
          <w:b/>
          <w:i w:val="false"/>
          <w:color w:val="000000"/>
          <w:sz w:val="22"/>
        </w:rPr>
        <w:t xml:space="preserve">(8A) </w:t>
      </w:r>
      <w:r>
        <w:rPr>
          <w:rFonts w:ascii="Times New Roman" w:hAnsi="Times New Roman"/>
          <w:b/>
          <w:i w:val="false"/>
          <w:color w:val="000000"/>
          <w:sz w:val="22"/>
        </w:rPr>
        <w:t xml:space="preserve">Negotiation of limitation of vendor liability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120.6(1)</w:t>
      </w:r>
      <w:r>
        <w:rPr>
          <w:rFonts w:ascii="Times New Roman" w:hAnsi="Times New Roman"/>
          <w:b w:val="false"/>
          <w:i w:val="false"/>
          <w:color w:val="000000"/>
          <w:sz w:val="22"/>
        </w:rPr>
        <w:t> </w:t>
      </w:r>
      <w:r>
        <w:rPr>
          <w:rFonts w:ascii="Times New Roman" w:hAnsi="Times New Roman"/>
          <w:b w:val="false"/>
          <w:i/>
          <w:color w:val="000000"/>
          <w:sz w:val="22"/>
        </w:rPr>
        <w:t xml:space="preserve">After completion of competitive selection process. </w:t>
      </w:r>
      <w:r>
        <w:rPr>
          <w:rFonts w:ascii="Times New Roman" w:hAnsi="Times New Roman"/>
          <w:b w:val="false"/>
          <w:i w:val="false"/>
          <w:color w:val="000000"/>
          <w:sz w:val="22"/>
        </w:rPr>
        <w:t xml:space="preserve">In a competitive selection process, the department or the state agency upon whose behalf the department conducts the information technology procurement may either award the contract to the apparent successful vendor without further negotiation or negotiate contract terms, including limitation of vendor liability provisions, if the department or state agency, in its sole discretion, determines that the best interest of the state would be served by entering into negotiations. Any negotiations of vendor limitation of liability contractual provisions shall be done in accordance with the provisions of rules </w:t>
      </w:r>
      <w:hyperlink r:id="rId15">
        <w:r>
          <w:rPr>
            <w:rStyle w:val="Hyperlink"/>
            <w:rFonts w:ascii="Times New Roman" w:hAnsi="Times New Roman"/>
            <w:b w:val="false"/>
            <w:i w:val="false"/>
            <w:color w:val="000000"/>
            <w:sz w:val="22"/>
          </w:rPr>
          <w:t>11—120.4</w:t>
        </w:r>
      </w:hyperlink>
      <w:r>
        <w:rPr>
          <w:rFonts w:ascii="Times New Roman" w:hAnsi="Times New Roman"/>
          <w:b w:val="false"/>
          <w:i w:val="false"/>
          <w:color w:val="000000"/>
          <w:sz w:val="22"/>
        </w:rPr>
        <w:t xml:space="preserve">(8A) and </w:t>
      </w:r>
      <w:hyperlink r:id="rId16">
        <w:r>
          <w:rPr>
            <w:rStyle w:val="Hyperlink"/>
            <w:rFonts w:ascii="Times New Roman" w:hAnsi="Times New Roman"/>
            <w:b w:val="false"/>
            <w:i w:val="false"/>
            <w:color w:val="000000"/>
            <w:sz w:val="22"/>
          </w:rPr>
          <w:t>11—120.5</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120.6(2)</w:t>
      </w:r>
      <w:r>
        <w:rPr>
          <w:rFonts w:ascii="Times New Roman" w:hAnsi="Times New Roman"/>
          <w:b w:val="false"/>
          <w:i w:val="false"/>
          <w:color w:val="000000"/>
          <w:sz w:val="22"/>
        </w:rPr>
        <w:t> </w:t>
      </w:r>
      <w:r>
        <w:rPr>
          <w:rFonts w:ascii="Times New Roman" w:hAnsi="Times New Roman"/>
          <w:b w:val="false"/>
          <w:i/>
          <w:color w:val="000000"/>
          <w:sz w:val="22"/>
        </w:rPr>
        <w:t xml:space="preserve">Sole source or emergency procurement. </w:t>
      </w:r>
      <w:r>
        <w:rPr>
          <w:rFonts w:ascii="Times New Roman" w:hAnsi="Times New Roman"/>
          <w:b w:val="false"/>
          <w:i w:val="false"/>
          <w:color w:val="000000"/>
          <w:sz w:val="22"/>
        </w:rPr>
        <w:t xml:space="preserve">In a justifiable sole source or emergency procurement, the department or state agency may negotiate a contractual limitation of vendor liability provision in accordance with the provisions of rules </w:t>
      </w:r>
      <w:hyperlink r:id="rId17">
        <w:r>
          <w:rPr>
            <w:rStyle w:val="Hyperlink"/>
            <w:rFonts w:ascii="Times New Roman" w:hAnsi="Times New Roman"/>
            <w:b w:val="false"/>
            <w:i w:val="false"/>
            <w:color w:val="000000"/>
            <w:sz w:val="22"/>
          </w:rPr>
          <w:t>11—120.4</w:t>
        </w:r>
      </w:hyperlink>
      <w:r>
        <w:rPr>
          <w:rFonts w:ascii="Times New Roman" w:hAnsi="Times New Roman"/>
          <w:b w:val="false"/>
          <w:i w:val="false"/>
          <w:color w:val="000000"/>
          <w:sz w:val="22"/>
        </w:rPr>
        <w:t xml:space="preserve">(8A) and </w:t>
      </w:r>
      <w:hyperlink r:id="rId18">
        <w:r>
          <w:rPr>
            <w:rStyle w:val="Hyperlink"/>
            <w:rFonts w:ascii="Times New Roman" w:hAnsi="Times New Roman"/>
            <w:b w:val="false"/>
            <w:i w:val="false"/>
            <w:color w:val="000000"/>
            <w:sz w:val="22"/>
          </w:rPr>
          <w:t>11—120.5</w:t>
        </w:r>
      </w:hyperlink>
      <w:r>
        <w:rPr>
          <w:rFonts w:ascii="Times New Roman" w:hAnsi="Times New Roman"/>
          <w:b w:val="false"/>
          <w:i w:val="false"/>
          <w:color w:val="000000"/>
          <w:sz w:val="22"/>
        </w:rPr>
        <w:t>(8A).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11—120.7</w:t>
      </w:r>
      <w:r>
        <w:rPr>
          <w:rFonts w:ascii="Times New Roman" w:hAnsi="Times New Roman"/>
          <w:b/>
          <w:i w:val="false"/>
          <w:color w:val="000000"/>
          <w:sz w:val="22"/>
        </w:rPr>
        <w:t xml:space="preserve">(8A) </w:t>
      </w:r>
      <w:r>
        <w:rPr>
          <w:rFonts w:ascii="Times New Roman" w:hAnsi="Times New Roman"/>
          <w:b/>
          <w:i w:val="false"/>
          <w:color w:val="000000"/>
          <w:sz w:val="22"/>
        </w:rPr>
        <w:t xml:space="preserve">Additional requirement. </w:t>
      </w:r>
      <w:r>
        <w:rPr>
          <w:rFonts w:ascii="Times New Roman" w:hAnsi="Times New Roman"/>
          <w:b w:val="false"/>
          <w:i w:val="false"/>
          <w:color w:val="000000"/>
          <w:sz w:val="22"/>
        </w:rPr>
        <w:t>Any contract containing a provision limiting the vendor’s liability shall also contain provisions limiting the state’s liability and preserving the state’s sovereign immunity.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8A.311(21)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0952C</w:t>
      </w:r>
      <w:r>
        <w:rPr>
          <w:rFonts w:ascii="Times New Roman" w:hAnsi="Times New Roman"/>
          <w:b w:val="false"/>
          <w:i w:val="false"/>
          <w:color w:val="000000"/>
          <w:sz w:val="21"/>
        </w:rPr>
        <w:t xml:space="preserve"> (Notice ARC 0812C,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2036C</w:t>
      </w:r>
      <w:r>
        <w:rPr>
          <w:rFonts w:ascii="Times New Roman" w:hAnsi="Times New Roman"/>
          <w:b w:val="false"/>
          <w:i w:val="false"/>
          <w:color w:val="000000"/>
          <w:sz w:val="21"/>
        </w:rPr>
        <w:t xml:space="preserve"> (Notice ARC 1969C, IAB 4/15/15)</w:t>
      </w:r>
      <w:r>
        <w:rPr>
          <w:rFonts w:ascii="Times New Roman" w:hAnsi="Times New Roman"/>
          <w:b w:val="false"/>
          <w:i w:val="false"/>
          <w:color w:val="000000"/>
          <w:sz w:val="21"/>
        </w:rPr>
        <w:t>, IAB 6/10/15, effective 7/15/15]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311.pdf" Type="http://schemas.openxmlformats.org/officeDocument/2006/relationships/hyperlink" Id="rId5"/>
    <Relationship TargetMode="External" Target="https://www.legis.iowa.gov/docs/ico/chapter/7E.4.pdf" Type="http://schemas.openxmlformats.org/officeDocument/2006/relationships/hyperlink" Id="rId6"/>
    <Relationship TargetMode="External" Target="https://www.legis.iowa.gov/docs/ico/chapter/7E.5.pdf" Type="http://schemas.openxmlformats.org/officeDocument/2006/relationships/hyperlink" Id="rId7"/>
    <Relationship TargetMode="External" Target="https://www.legis.iowa.gov/docs/ico/chapter/602.1102.pdf" Type="http://schemas.openxmlformats.org/officeDocument/2006/relationships/hyperlink" Id="rId8"/>
    <Relationship TargetMode="External" Target="https://www.legis.iowa.gov/docs/iac/rule/11.120.5.pdf" Type="http://schemas.openxmlformats.org/officeDocument/2006/relationships/hyperlink" Id="rId9"/>
    <Relationship TargetMode="External" Target="https://www.legis.iowa.gov/docs/iac/rule/11.120.4.pdf" Type="http://schemas.openxmlformats.org/officeDocument/2006/relationships/hyperlink" Id="rId10"/>
    <Relationship TargetMode="External" Target="https://www.legis.iowa.gov/docs/iac/rule/11.120.5.pdf" Type="http://schemas.openxmlformats.org/officeDocument/2006/relationships/hyperlink" Id="rId11"/>
    <Relationship TargetMode="External" Target="https://www.legis.iowa.gov/docs/iac/rule/11.120.5.pdf" Type="http://schemas.openxmlformats.org/officeDocument/2006/relationships/hyperlink" Id="rId12"/>
    <Relationship TargetMode="External" Target="https://www.legis.iowa.gov/docs/iac/rule/11.120.5.pdf" Type="http://schemas.openxmlformats.org/officeDocument/2006/relationships/hyperlink" Id="rId13"/>
    <Relationship TargetMode="External" Target="https://www.legis.iowa.gov/docs/iac/rule/11.120.5.pdf" Type="http://schemas.openxmlformats.org/officeDocument/2006/relationships/hyperlink" Id="rId14"/>
    <Relationship TargetMode="External" Target="https://www.legis.iowa.gov/docs/iac/rule/11.120.4.pdf" Type="http://schemas.openxmlformats.org/officeDocument/2006/relationships/hyperlink" Id="rId15"/>
    <Relationship TargetMode="External" Target="https://www.legis.iowa.gov/docs/iac/rule/11.120.5.pdf" Type="http://schemas.openxmlformats.org/officeDocument/2006/relationships/hyperlink" Id="rId16"/>
    <Relationship TargetMode="External" Target="https://www.legis.iowa.gov/docs/iac/rule/11.120.4.pdf" Type="http://schemas.openxmlformats.org/officeDocument/2006/relationships/hyperlink" Id="rId17"/>
    <Relationship TargetMode="External" Target="https://www.legis.iowa.gov/docs/iac/rule/11.120.5.pdf" Type="http://schemas.openxmlformats.org/officeDocument/2006/relationships/hyperlink" Id="rId18"/>
    <Relationship TargetMode="External" Target="https://www.legis.iowa.gov/docs/ico/chapter/8A.311.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