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118</w:t>
      </w:r>
    </w:p>
    <w:p>
      <w:pPr>
        <w:spacing w:before="0" w:after="0"/>
        <w:ind w:left="120"/>
        <w:jc w:val="center"/>
      </w:pPr>
      <w:r>
        <w:rPr>
          <w:rFonts w:ascii="Times New Roman" w:hAnsi="Times New Roman"/>
          <w:b w:val="false"/>
          <w:i w:val="false"/>
          <w:color w:val="000000"/>
          <w:sz w:val="21"/>
        </w:rPr>
        <w:t>PURCHASING STANDARDS FOR SERVICE CONTRACTS</w:t>
      </w:r>
    </w:p>
    <w:p>
      <w:pPr>
        <w:spacing w:before="0" w:after="0"/>
        <w:ind w:left="120"/>
        <w:jc w:val="center"/>
      </w:pPr>
      <w:r>
        <w:rPr>
          <w:rFonts w:ascii="Times New Roman" w:hAnsi="Times New Roman"/>
          <w:b w:val="false"/>
          <w:i w:val="false"/>
          <w:color w:val="000000"/>
          <w:sz w:val="14"/>
        </w:rPr>
        <w:t>[Prior to 9/17/03, see 401—Chapter 12]</w:t>
      </w:r>
    </w:p>
    <w:p>
      <w:pPr>
        <w:spacing w:before="0" w:after="0"/>
        <w:ind w:left="120"/>
        <w:jc w:val="center"/>
      </w:pPr>
      <w:r>
        <w:rPr>
          <w:rFonts w:ascii="Times New Roman" w:hAnsi="Times New Roman"/>
          <w:b w:val="false"/>
          <w:i w:val="false"/>
          <w:color w:val="000000"/>
          <w:sz w:val="14"/>
        </w:rPr>
        <w:t>[Prior to 8/21/13, see 11—Chapter 106]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11—118.1</w:t>
      </w:r>
      <w:r>
        <w:rPr>
          <w:rFonts w:ascii="Times New Roman" w:hAnsi="Times New Roman"/>
          <w:b/>
          <w:i w:val="false"/>
          <w:color w:val="000000"/>
          <w:sz w:val="22"/>
        </w:rPr>
        <w:t xml:space="preserve">(8A) </w:t>
      </w:r>
      <w:r>
        <w:rPr>
          <w:rFonts w:ascii="Times New Roman" w:hAnsi="Times New Roman"/>
          <w:b/>
          <w:i w:val="false"/>
          <w:color w:val="000000"/>
          <w:sz w:val="22"/>
        </w:rPr>
        <w:t xml:space="preserve">Authority and scope. </w:t>
      </w:r>
      <w:r>
        <w:rPr>
          <w:rFonts w:ascii="Times New Roman" w:hAnsi="Times New Roman"/>
          <w:b w:val="false"/>
          <w:i w:val="false"/>
          <w:color w:val="000000"/>
          <w:sz w:val="22"/>
        </w:rPr>
        <w:t>This chapter is adopted for the purpose of establishing a system of uniform standards for purchasing services in state government. The department of administrative services has adopted these uniform standards in cooperation with other state agencies.</w:t>
      </w:r>
    </w:p>
    <w:p>
      <w:pPr>
        <w:spacing w:before="0" w:after="0"/>
        <w:ind w:left="120"/>
        <w:jc w:val="both"/>
      </w:pPr>
      <w:r>
        <w:rPr>
          <w:rFonts w:ascii="Times New Roman" w:hAnsi="Times New Roman"/>
          <w:b w:val="false"/>
          <w:i w:val="false"/>
          <w:color w:val="000000"/>
          <w:sz w:val="22"/>
        </w:rPr>
        <w:t>The rules address when state agencies must use competitive selection to purchase services and when it is acceptable to use a sole source or emergency procurement instead of a competitive selection process. The rules provide a mechanism that allows state agencies to use an informal competitive process for purchases of services when the estimated annual value of the contract is less than $50,000 and when the estimated value of the multiyear contract in the aggregate, including renewals, is less than $150,000. The rules also include guidance to state agencies about additional requirements and procedures they should follow when purchasing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11—118.2</w:t>
      </w:r>
      <w:r>
        <w:rPr>
          <w:rFonts w:ascii="Times New Roman" w:hAnsi="Times New Roman"/>
          <w:b/>
          <w:i w:val="false"/>
          <w:color w:val="000000"/>
          <w:sz w:val="22"/>
        </w:rPr>
        <w:t xml:space="preserve">(8A)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shall apply to all state agencies purchasing services unless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6/11/25</w:t>
      </w:r>
      <w:r>
        <w:rPr>
          <w:rFonts w:ascii="Times New Roman" w:hAnsi="Times New Roman"/>
          <w:b w:val="false"/>
          <w:i w:val="false"/>
          <w:color w:val="000000"/>
          <w:sz w:val="22"/>
        </w:rPr>
        <w:t>, effective 7/16/25.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state agency that is subject to the applicability requirements of rule </w:t>
      </w:r>
      <w:hyperlink r:id="rId5">
        <w:r>
          <w:rPr>
            <w:rStyle w:val="Hyperlink"/>
            <w:rFonts w:ascii="Times New Roman" w:hAnsi="Times New Roman"/>
            <w:b w:val="false"/>
            <w:i w:val="false"/>
            <w:color w:val="000000"/>
            <w:sz w:val="22"/>
          </w:rPr>
          <w:t>11—117.1</w:t>
        </w:r>
      </w:hyperlink>
      <w:r>
        <w:rPr>
          <w:rFonts w:ascii="Times New Roman" w:hAnsi="Times New Roman"/>
          <w:b w:val="false"/>
          <w:i w:val="false"/>
          <w:color w:val="000000"/>
          <w:sz w:val="22"/>
        </w:rPr>
        <w:t xml:space="preserve">(8A) intends to procure “services of general use” as defined by rule </w:t>
      </w:r>
      <w:hyperlink r:id="rId6">
        <w:r>
          <w:rPr>
            <w:rStyle w:val="Hyperlink"/>
            <w:rFonts w:ascii="Times New Roman" w:hAnsi="Times New Roman"/>
            <w:b w:val="false"/>
            <w:i w:val="false"/>
            <w:color w:val="000000"/>
            <w:sz w:val="22"/>
          </w:rPr>
          <w:t>11—117.2</w:t>
        </w:r>
      </w:hyperlink>
      <w:r>
        <w:rPr>
          <w:rFonts w:ascii="Times New Roman" w:hAnsi="Times New Roman"/>
          <w:b w:val="false"/>
          <w:i w:val="false"/>
          <w:color w:val="000000"/>
          <w:sz w:val="22"/>
        </w:rPr>
        <w:t xml:space="preserve">(8A), the provisions of </w:t>
      </w:r>
      <w:hyperlink r:id="rId7">
        <w:r>
          <w:rPr>
            <w:rStyle w:val="Hyperlink"/>
            <w:rFonts w:ascii="Times New Roman" w:hAnsi="Times New Roman"/>
            <w:b w:val="false"/>
            <w:i w:val="false"/>
            <w:color w:val="000000"/>
            <w:sz w:val="22"/>
          </w:rPr>
          <w:t>11—Chapter 117</w:t>
        </w:r>
      </w:hyperlink>
      <w:r>
        <w:rPr>
          <w:rFonts w:ascii="Times New Roman" w:hAnsi="Times New Roman"/>
          <w:b w:val="false"/>
          <w:i w:val="false"/>
          <w:color w:val="000000"/>
          <w:sz w:val="22"/>
        </w:rPr>
        <w:t xml:space="preserve"> shall apply to the procurement.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9355C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11—118.3</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agency” </w:t>
      </w:r>
      <w:r>
        <w:rPr>
          <w:rFonts w:ascii="Times New Roman" w:hAnsi="Times New Roman"/>
          <w:b w:val="false"/>
          <w:i w:val="false"/>
          <w:color w:val="000000"/>
          <w:sz w:val="22"/>
        </w:rPr>
        <w:t xml:space="preserve">means a unit of state government, which is an authority, board, commission, committee, council, department, examining board, or independent agency as defined in Iowa Code section </w:t>
      </w:r>
      <w:hyperlink r:id="rId8">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 xml:space="preserve">, including but not limited to each principal central department enumerated in Iowa Code section </w:t>
      </w:r>
      <w:hyperlink r:id="rId9">
        <w:r>
          <w:rPr>
            <w:rStyle w:val="Hyperlink"/>
            <w:rFonts w:ascii="Times New Roman" w:hAnsi="Times New Roman"/>
            <w:b w:val="false"/>
            <w:i w:val="false"/>
            <w:color w:val="000000"/>
            <w:sz w:val="22"/>
          </w:rPr>
          <w:t>7E.5</w:t>
        </w:r>
      </w:hyperlink>
      <w:r>
        <w:rPr>
          <w:rFonts w:ascii="Times New Roman" w:hAnsi="Times New Roman"/>
          <w:b w:val="false"/>
          <w:i w:val="false"/>
          <w:color w:val="000000"/>
          <w:sz w:val="22"/>
        </w:rPr>
        <w:t>. However, “agency” or “state agency” does not mean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office of the governor or the office of an elective constitutional or statutory officer.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general assembly, or any office or unit under its administrative authority.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judicial branch, as provided in Iowa Code section </w:t>
      </w:r>
      <w:hyperlink r:id="rId10">
        <w:r>
          <w:rPr>
            <w:rStyle w:val="Hyperlink"/>
            <w:rFonts w:ascii="Times New Roman" w:hAnsi="Times New Roman"/>
            <w:b w:val="false"/>
            <w:i w:val="false"/>
            <w:color w:val="000000"/>
            <w:sz w:val="22"/>
          </w:rPr>
          <w:t>602.1102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political subdivision of the state or its offices or units, including but not limited to a county, city, or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selection” </w:t>
      </w:r>
      <w:r>
        <w:rPr>
          <w:rFonts w:ascii="Times New Roman" w:hAnsi="Times New Roman"/>
          <w:b w:val="false"/>
          <w:i w:val="false"/>
          <w:color w:val="000000"/>
          <w:sz w:val="22"/>
        </w:rPr>
        <w:t>means a formal or informal process engaged in by a state agency to compare provider qualifications, terms, conditions, and prices of equal or similar services in order to meet the objective of purchasing services based on quality, performance, price, or any combination thereof. During a competitive selection process, a state agency may weigh the relevant selection criteria in whatever fashion it believes will enable it to select the service provider that submits the best proposal. The lowest priced proposal is not necessarily the best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administrative services (DAS).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administrative services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means the specific length of a service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includes, but is not limited to, a condition: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threatens public health, welfare or safety;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which there is a need to protect the health, welfare or safety of persons occupying or visiting a public improvement or property located adjacent to the public improvement;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which the state agency must act to preserve critical services or programs or in which the need is a result of events or circumstances not reasonably foreseeable.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procurement” </w:t>
      </w:r>
      <w:r>
        <w:rPr>
          <w:rFonts w:ascii="Times New Roman" w:hAnsi="Times New Roman"/>
          <w:b w:val="false"/>
          <w:i w:val="false"/>
          <w:color w:val="000000"/>
          <w:sz w:val="22"/>
        </w:rPr>
        <w:t>means an acquisition of a service or services resulting from an emergency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“Formal competition” </w:t>
      </w:r>
      <w:r>
        <w:rPr>
          <w:rFonts w:ascii="Times New Roman" w:hAnsi="Times New Roman"/>
          <w:b w:val="false"/>
          <w:i w:val="false"/>
          <w:color w:val="000000"/>
          <w:sz w:val="22"/>
        </w:rPr>
        <w:t>means a competitive selection process that employs a request for proposal or other competitive selection process authorized by applicable law resulting in a service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“Informal competition” </w:t>
      </w:r>
      <w:r>
        <w:rPr>
          <w:rFonts w:ascii="Times New Roman" w:hAnsi="Times New Roman"/>
          <w:b w:val="false"/>
          <w:i w:val="false"/>
          <w:color w:val="000000"/>
          <w:sz w:val="22"/>
        </w:rPr>
        <w:t>means a streamlined competitive selection process in which a state agency makes an effort to contact at least three prospective service providers identified by the purchasing state agency as qualified to perform the work described in the scope of work to provide bids or proposals to provide the services the state agency is seeking.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“Intergovernmental agreement” </w:t>
      </w:r>
      <w:r>
        <w:rPr>
          <w:rFonts w:ascii="Times New Roman" w:hAnsi="Times New Roman"/>
          <w:b w:val="false"/>
          <w:i w:val="false"/>
          <w:color w:val="000000"/>
          <w:sz w:val="22"/>
        </w:rPr>
        <w:t>means an agreement for services between a state agency and any other governmental entity whether federal, state, or local and any department, division, unit or subdivision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“private agencies” </w:t>
      </w:r>
      <w:r>
        <w:rPr>
          <w:rFonts w:ascii="Times New Roman" w:hAnsi="Times New Roman"/>
          <w:b w:val="false"/>
          <w:i w:val="false"/>
          <w:color w:val="000000"/>
          <w:sz w:val="22"/>
        </w:rPr>
        <w:t>means an individual or any form of business organization authorized under the laws of this or any other state or under the laws of any foreign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“Selection documents” </w:t>
      </w:r>
      <w:r>
        <w:rPr>
          <w:rFonts w:ascii="Times New Roman" w:hAnsi="Times New Roman"/>
          <w:b w:val="false"/>
          <w:i w:val="false"/>
          <w:color w:val="000000"/>
          <w:sz w:val="22"/>
        </w:rPr>
        <w:t>means documents prepared for a competitive selection by a state agency to purchase services. Selection documents may include requests for proposal, invitations to bid, invitations to bid with best value considerations, invitations to qualify, requests for strategy, auctions, reverse auctions, negotiated selection, or any other type of document a state agency is authorized to use that is designed to advise service providers that a state agency is interested in procuring services for state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“services” </w:t>
      </w:r>
      <w:r>
        <w:rPr>
          <w:rFonts w:ascii="Times New Roman" w:hAnsi="Times New Roman"/>
          <w:b w:val="false"/>
          <w:i w:val="false"/>
          <w:color w:val="000000"/>
          <w:sz w:val="22"/>
        </w:rPr>
        <w:t>means work performed for a state agency or for its clients by a service provider and includes but is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Professional or technical expertise provided by a consultant, advisor or other technical or service provider to accomplish a specific study, review, project, task, or other work as described in the scope of work. By way of example and not by limitation, these services may include the following: accounting services; aerial surveys; aerial mapping and seeding; appraisal services; land surveying services; construction manager services; analysis and assessment of processes, programs, fiscal impact, compliance, systems and the like; auditing services; communications services; services of peer reviewers, attorneys, financial advisors, and expert witnesses for litigation; consulting services; services of investment advisors and managers; marketing services; policy development and recommendations; program development; public involvement services and strategies; research services; scientific and related technical services; software development and system design; and services of underwriters, physicians, and pharmacists;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Services provided by a vendor to accomplish routine functions. These services contribute to the day-to-day operations of state government. By way of example and not by limitation, these services may include the following: ambulance service; charter service; boiler testing; bookkeeping service; building alarm systems service and repair; commercial laundry service; communications systems installation, servicing and repair; court reporting and transcription services; engraving service; equipment or machine installation, preventive maintenance, inspection, calibration and repair; heating, ventilation and air conditioning (HVAC) system maintenance service; janitorial service; painting; pest and weed control service; grounds maintenance, mowing, parking lot sweeping and snow removal service; towing service; translation services; and travel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contract” </w:t>
      </w:r>
      <w:r>
        <w:rPr>
          <w:rFonts w:ascii="Times New Roman" w:hAnsi="Times New Roman"/>
          <w:b w:val="false"/>
          <w:i w:val="false"/>
          <w:color w:val="000000"/>
          <w:sz w:val="22"/>
        </w:rPr>
        <w:t>means a contract for a service or services when the predominant factor, thrust, and purpose of the contract as reasonably stated is for the provision or rendering of services. When there is a contract for both goods and services and the predominant factor, thrust, and purpose of the contract as reasonably stated is for the provision or rendering of services with goods incidentally involved, a service contract exists and these rules apply. “Service contract” includes grants when the predominant factor, thrust, and purpose of the contract formalizing the grant is for the provision or rendering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provider” </w:t>
      </w:r>
      <w:r>
        <w:rPr>
          <w:rFonts w:ascii="Times New Roman" w:hAnsi="Times New Roman"/>
          <w:b w:val="false"/>
          <w:i w:val="false"/>
          <w:color w:val="000000"/>
          <w:sz w:val="22"/>
        </w:rPr>
        <w:t>means a vendor that enters into a service contract with a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“Sole source procurement” </w:t>
      </w:r>
      <w:r>
        <w:rPr>
          <w:rFonts w:ascii="Times New Roman" w:hAnsi="Times New Roman"/>
          <w:b w:val="false"/>
          <w:i w:val="false"/>
          <w:color w:val="000000"/>
          <w:sz w:val="22"/>
        </w:rPr>
        <w:t>means a purchase of services in which the state agency selects a service provider without engaging in a competitive selection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7018C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 xml:space="preserve">; </w:t>
      </w:r>
      <w:r>
        <w:rPr>
          <w:rFonts w:ascii="Times New Roman" w:hAnsi="Times New Roman"/>
          <w:b/>
          <w:i w:val="false"/>
          <w:color w:val="000000"/>
          <w:sz w:val="16"/>
        </w:rPr>
        <w:t>ARC 9355C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11—118.4</w:t>
      </w:r>
      <w:r>
        <w:rPr>
          <w:rFonts w:ascii="Times New Roman" w:hAnsi="Times New Roman"/>
          <w:b/>
          <w:i w:val="false"/>
          <w:color w:val="000000"/>
          <w:sz w:val="22"/>
        </w:rPr>
        <w:t xml:space="preserve">(8A) </w:t>
      </w:r>
      <w:r>
        <w:rPr>
          <w:rFonts w:ascii="Times New Roman" w:hAnsi="Times New Roman"/>
          <w:b/>
          <w:i w:val="false"/>
          <w:color w:val="000000"/>
          <w:sz w:val="22"/>
        </w:rPr>
        <w:t xml:space="preserve">Intergovernmental agreements. </w:t>
      </w:r>
      <w:r>
        <w:rPr>
          <w:rFonts w:ascii="Times New Roman" w:hAnsi="Times New Roman"/>
          <w:b w:val="false"/>
          <w:i w:val="false"/>
          <w:color w:val="000000"/>
          <w:sz w:val="22"/>
        </w:rPr>
        <w:t>In the event another governmental entity has resources available to supply a service sought by a state agency, the state agency may enter into an intergovernmental agreement with the other governmental entity and is not required to use competitive selection.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11—118.5</w:t>
      </w:r>
      <w:r>
        <w:rPr>
          <w:rFonts w:ascii="Times New Roman" w:hAnsi="Times New Roman"/>
          <w:b/>
          <w:i w:val="false"/>
          <w:color w:val="000000"/>
          <w:sz w:val="22"/>
        </w:rPr>
        <w:t xml:space="preserve">(8A) </w:t>
      </w:r>
      <w:r>
        <w:rPr>
          <w:rFonts w:ascii="Times New Roman" w:hAnsi="Times New Roman"/>
          <w:b/>
          <w:i w:val="false"/>
          <w:color w:val="000000"/>
          <w:sz w:val="22"/>
        </w:rPr>
        <w:t xml:space="preserve">Use of competitive selection. </w:t>
      </w:r>
      <w:r>
        <w:rPr>
          <w:rFonts w:ascii="Times New Roman" w:hAnsi="Times New Roman"/>
          <w:b w:val="false"/>
          <w:i w:val="false"/>
          <w:color w:val="000000"/>
          <w:sz w:val="22"/>
        </w:rPr>
        <w:t xml:space="preserve">State agencies may procure non-master agreement services from private entities without competition when the estimated value does not exceed $15,000. Agencies shall use competitive selection to acquire services from private entities when the estimated value of the service contract is greater than $15,000 unless there is adequate justification for a sole source procurement pursuant to rule </w:t>
      </w:r>
      <w:hyperlink r:id="rId11">
        <w:r>
          <w:rPr>
            <w:rStyle w:val="Hyperlink"/>
            <w:rFonts w:ascii="Times New Roman" w:hAnsi="Times New Roman"/>
            <w:b w:val="false"/>
            <w:i w:val="false"/>
            <w:color w:val="000000"/>
            <w:sz w:val="22"/>
          </w:rPr>
          <w:t>11—118.7</w:t>
        </w:r>
      </w:hyperlink>
      <w:r>
        <w:rPr>
          <w:rFonts w:ascii="Times New Roman" w:hAnsi="Times New Roman"/>
          <w:b w:val="false"/>
          <w:i w:val="false"/>
          <w:color w:val="000000"/>
          <w:sz w:val="22"/>
        </w:rPr>
        <w:t xml:space="preserve">(8A) or emergency procurement pursuant to rule </w:t>
      </w:r>
      <w:hyperlink r:id="rId12">
        <w:r>
          <w:rPr>
            <w:rStyle w:val="Hyperlink"/>
            <w:rFonts w:ascii="Times New Roman" w:hAnsi="Times New Roman"/>
            <w:b w:val="false"/>
            <w:i w:val="false"/>
            <w:color w:val="000000"/>
            <w:sz w:val="22"/>
          </w:rPr>
          <w:t>11—118.8</w:t>
        </w:r>
      </w:hyperlink>
      <w:r>
        <w:rPr>
          <w:rFonts w:ascii="Times New Roman" w:hAnsi="Times New Roman"/>
          <w:b w:val="false"/>
          <w:i w:val="false"/>
          <w:color w:val="000000"/>
          <w:sz w:val="22"/>
        </w:rPr>
        <w:t xml:space="preserve">(8A) or unless awarded to a targeted small business pursuant to </w:t>
      </w:r>
      <w:hyperlink r:id="rId13">
        <w:r>
          <w:rPr>
            <w:rStyle w:val="Hyperlink"/>
            <w:rFonts w:ascii="Times New Roman" w:hAnsi="Times New Roman"/>
            <w:b w:val="false"/>
            <w:i w:val="false"/>
            <w:color w:val="000000"/>
            <w:sz w:val="22"/>
          </w:rPr>
          <w:t>11—paragraph 117.5(2)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procured pursuant to another exception to competitive selection under another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118.5(1)</w:t>
      </w:r>
      <w:r>
        <w:rPr>
          <w:rFonts w:ascii="Times New Roman" w:hAnsi="Times New Roman"/>
          <w:b w:val="false"/>
          <w:i w:val="false"/>
          <w:color w:val="000000"/>
          <w:sz w:val="22"/>
        </w:rPr>
        <w:t> </w:t>
      </w:r>
      <w:r>
        <w:rPr>
          <w:rFonts w:ascii="Times New Roman" w:hAnsi="Times New Roman"/>
          <w:b w:val="false"/>
          <w:i w:val="false"/>
          <w:color w:val="000000"/>
          <w:sz w:val="22"/>
        </w:rPr>
        <w:t>When the estimated annual value of the service contract is greater than $50,000 or the estimated value of the multiyear service contract in the aggregate, including any renewals, exceeds $150,000, a state agency shall use a formal competitive selection process to procure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118.5(2)</w:t>
      </w:r>
      <w:r>
        <w:rPr>
          <w:rFonts w:ascii="Times New Roman" w:hAnsi="Times New Roman"/>
          <w:b w:val="false"/>
          <w:i w:val="false"/>
          <w:color w:val="000000"/>
          <w:sz w:val="22"/>
        </w:rPr>
        <w:t> </w:t>
      </w:r>
      <w:r>
        <w:rPr>
          <w:rFonts w:ascii="Times New Roman" w:hAnsi="Times New Roman"/>
          <w:b w:val="false"/>
          <w:i w:val="false"/>
          <w:color w:val="000000"/>
          <w:sz w:val="22"/>
        </w:rPr>
        <w:t>When the estimated annual value of the service contract is greater than $15,000 and not greater than $50,000 and the estimated value of the multiyear service contract in the aggregate, including any renewals, does not exceed $150,000, a state agency, in its sole discretion, shall use either a formal or informal competitive selection process to engage a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118.5(3)</w:t>
      </w:r>
      <w:r>
        <w:rPr>
          <w:rFonts w:ascii="Times New Roman" w:hAnsi="Times New Roman"/>
          <w:b w:val="false"/>
          <w:i w:val="false"/>
          <w:color w:val="000000"/>
          <w:sz w:val="22"/>
        </w:rPr>
        <w:t> </w:t>
      </w:r>
      <w:r>
        <w:rPr>
          <w:rFonts w:ascii="Times New Roman" w:hAnsi="Times New Roman"/>
          <w:b w:val="false"/>
          <w:i w:val="false"/>
          <w:color w:val="000000"/>
          <w:sz w:val="22"/>
        </w:rPr>
        <w:t>The requirement to use competitive selection to select a service provider when the estimated value of the service contract is greater than $15,000 applies even when the state agency purchases services from a private entity and designates the contract it enters into with the private entity as a 28E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estimated value of an architectural services contract, an engineering services contract, or both is greater than the competitive bid threshold listed in Iowa Code section </w:t>
      </w:r>
      <w:hyperlink r:id="rId14">
        <w:r>
          <w:rPr>
            <w:rStyle w:val="Hyperlink"/>
            <w:rFonts w:ascii="Times New Roman" w:hAnsi="Times New Roman"/>
            <w:b w:val="false"/>
            <w:i w:val="false"/>
            <w:color w:val="000000"/>
            <w:sz w:val="22"/>
          </w:rPr>
          <w:t>314.1B(2)</w:t>
        </w:r>
      </w:hyperlink>
      <w:r>
        <w:rPr>
          <w:rFonts w:ascii="Times New Roman" w:hAnsi="Times New Roman"/>
          <w:b w:val="false"/>
          <w:i w:val="false"/>
          <w:color w:val="000000"/>
          <w:sz w:val="22"/>
        </w:rPr>
        <w:t>, the department shall use a formal competitive selection process to procure the architectural service, the engineering service,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4845C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6263C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 xml:space="preserve">; </w:t>
      </w:r>
      <w:r>
        <w:rPr>
          <w:rFonts w:ascii="Times New Roman" w:hAnsi="Times New Roman"/>
          <w:b/>
          <w:i w:val="false"/>
          <w:color w:val="000000"/>
          <w:sz w:val="16"/>
        </w:rPr>
        <w:t>ARC 7018C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11—118.6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11—118.7</w:t>
      </w:r>
      <w:r>
        <w:rPr>
          <w:rFonts w:ascii="Times New Roman" w:hAnsi="Times New Roman"/>
          <w:b/>
          <w:i w:val="false"/>
          <w:color w:val="000000"/>
          <w:sz w:val="22"/>
        </w:rPr>
        <w:t xml:space="preserve">(8A) </w:t>
      </w:r>
      <w:r>
        <w:rPr>
          <w:rFonts w:ascii="Times New Roman" w:hAnsi="Times New Roman"/>
          <w:b/>
          <w:i w:val="false"/>
          <w:color w:val="000000"/>
          <w:sz w:val="22"/>
        </w:rPr>
        <w:t xml:space="preserve">Sole source procurements.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118.7(1)</w:t>
      </w:r>
      <w:r>
        <w:rPr>
          <w:rFonts w:ascii="Times New Roman" w:hAnsi="Times New Roman"/>
          <w:b w:val="false"/>
          <w:i w:val="false"/>
          <w:color w:val="000000"/>
          <w:sz w:val="22"/>
        </w:rPr>
        <w:t> </w:t>
      </w:r>
      <w:r>
        <w:rPr>
          <w:rFonts w:ascii="Times New Roman" w:hAnsi="Times New Roman"/>
          <w:b w:val="false"/>
          <w:i/>
          <w:color w:val="000000"/>
          <w:sz w:val="22"/>
        </w:rPr>
        <w:t xml:space="preserve">When justified. </w:t>
      </w:r>
      <w:r>
        <w:rPr>
          <w:rFonts w:ascii="Times New Roman" w:hAnsi="Times New Roman"/>
          <w:b w:val="false"/>
          <w:i w:val="false"/>
          <w:color w:val="000000"/>
          <w:sz w:val="22"/>
        </w:rPr>
        <w:t>A sole source procurement shall be avoided unless clearly necessary and justifiable. A state agency may purchase services using a sole source procurement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 agency determines that one service provider is the only one qualified or eligible or is quite obviously the most qualified or eligible to perform the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services being purchased involve work that is of such a specialized nature or related to a specific geographic location that only a single source, by virtue of experience, expertise, proximity to the project, or ownership of intellectual property rights, could most satisfactorily provide the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 agency is hiring a service provider to provide peer review services for a professional licensing board pursuant to Iowa Code chapter </w:t>
      </w:r>
      <w:hyperlink r:id="rId1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 agency is hiring the services of experts, advisors, counsel or consultants to assist in any type of legal proceeding including but not limited to testifying or assisting in the preparation of quasi-judicial or judicial proceedings;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federal government or other provider of funds for the services being purchased (other than the state of Iowa) has imposed clear and specific restrictions on the state agency’s use of the funds in a way that restricts the state agency to only one service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Applicable law requires, provides for, or permits use of a sole source procurement;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Compatibility is the overriding consideration, the procurement would prevent voidance or termination of a warranty, or the procurement would prevent default under a contract or other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118.7(2)</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required for sole source procurements.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value of the service contract exceeds $15,000, the director of a state agency or designee shall sign the sole source contract or the amendment. In the absence of the director of a state agency or designee, the sole source contract shall be signed only by the DAS director or designee. Use of sole source procurement does not relieve a state agency from negotiating a fair and reasonable price and thoroughly documenting the procurement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value of the service contract exceeds $15,000, a state agency shall be required to complete a sole source justification form. The director of the state agency or designee shall sign the sole source justification form. In the absence of the director of the state agency or designee, the sole source justification form shall be signed only by the DAS director or designee. The claim for the first payment on a contract requires a copy of the signed original contract, a copy of the precontract questionnaire, a copy of the sole source justification form, and an original invoice or original claimant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 for the sole source procurement shall comply with </w:t>
      </w:r>
      <w:hyperlink r:id="rId16">
        <w:r>
          <w:rPr>
            <w:rStyle w:val="Hyperlink"/>
            <w:rFonts w:ascii="Times New Roman" w:hAnsi="Times New Roman"/>
            <w:b w:val="false"/>
            <w:i w:val="false"/>
            <w:color w:val="000000"/>
            <w:sz w:val="22"/>
          </w:rPr>
          <w:t>11—119.4</w:t>
        </w:r>
      </w:hyperlink>
      <w:r>
        <w:rPr>
          <w:rFonts w:ascii="Times New Roman" w:hAnsi="Times New Roman"/>
          <w:b w:val="false"/>
          <w:i w:val="false"/>
          <w:color w:val="000000"/>
          <w:sz w:val="22"/>
        </w:rPr>
        <w:t xml:space="preserve">(8,8A), uniform terms and conditions for service contracts, or </w:t>
      </w:r>
      <w:hyperlink r:id="rId17">
        <w:r>
          <w:rPr>
            <w:rStyle w:val="Hyperlink"/>
            <w:rFonts w:ascii="Times New Roman" w:hAnsi="Times New Roman"/>
            <w:b w:val="false"/>
            <w:i w:val="false"/>
            <w:color w:val="000000"/>
            <w:sz w:val="22"/>
          </w:rPr>
          <w:t>11—119.5</w:t>
        </w:r>
      </w:hyperlink>
      <w:r>
        <w:rPr>
          <w:rFonts w:ascii="Times New Roman" w:hAnsi="Times New Roman"/>
          <w:b w:val="false"/>
          <w:i w:val="false"/>
          <w:color w:val="000000"/>
          <w:sz w:val="22"/>
        </w:rPr>
        <w:t>(8,8A), special terms and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1485C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6263C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 xml:space="preserve">; </w:t>
      </w:r>
      <w:r>
        <w:rPr>
          <w:rFonts w:ascii="Times New Roman" w:hAnsi="Times New Roman"/>
          <w:b/>
          <w:i w:val="false"/>
          <w:color w:val="000000"/>
          <w:sz w:val="16"/>
        </w:rPr>
        <w:t>ARC 9355C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11—118.8</w:t>
      </w:r>
      <w:r>
        <w:rPr>
          <w:rFonts w:ascii="Times New Roman" w:hAnsi="Times New Roman"/>
          <w:b/>
          <w:i w:val="false"/>
          <w:color w:val="000000"/>
          <w:sz w:val="22"/>
        </w:rPr>
        <w:t xml:space="preserve">(8A) </w:t>
      </w:r>
      <w:r>
        <w:rPr>
          <w:rFonts w:ascii="Times New Roman" w:hAnsi="Times New Roman"/>
          <w:b/>
          <w:i w:val="false"/>
          <w:color w:val="000000"/>
          <w:sz w:val="22"/>
        </w:rPr>
        <w:t xml:space="preserve">Emergency procurements.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118.8(1)</w:t>
      </w:r>
      <w:r>
        <w:rPr>
          <w:rFonts w:ascii="Times New Roman" w:hAnsi="Times New Roman"/>
          <w:b w:val="false"/>
          <w:i w:val="false"/>
          <w:color w:val="000000"/>
          <w:sz w:val="22"/>
        </w:rPr>
        <w:t> </w:t>
      </w:r>
      <w:r>
        <w:rPr>
          <w:rFonts w:ascii="Times New Roman" w:hAnsi="Times New Roman"/>
          <w:b w:val="false"/>
          <w:i/>
          <w:color w:val="000000"/>
          <w:sz w:val="22"/>
        </w:rPr>
        <w:t xml:space="preserve">When justified. </w:t>
      </w:r>
      <w:r>
        <w:rPr>
          <w:rFonts w:ascii="Times New Roman" w:hAnsi="Times New Roman"/>
          <w:b w:val="false"/>
          <w:i w:val="false"/>
          <w:color w:val="000000"/>
          <w:sz w:val="22"/>
        </w:rPr>
        <w:t>An emergency procurement shall be limited in scope and duration to meet the emergency. When considering the scope and duration of an emergency procurement, the state agency may consider price and availability of the service procured so that the state agency obtains the best value for the funds spent under the circumstances. State agencies should attempt to acquire services with as much competition as practicable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118.8(2)</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required for emergency procurements.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head of a state agency shall sign all emergency contracts and amendments regardless of value or length of term. If the head of a state agency is not available, a designee may sign an emergency contract or amendment. Use of an emergency procurement does not relieve a state agency from negotiating a fair and reasonable price and documenting the procurement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value of the service contract exceeds $15,000, a state agency shall be required to complete an emergency justification form. The head of the state agency or designee shall sign the emergency justification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emergency procurement results in the extension of an existing contract that contains performance criteria, the contract extension shall comply with rule </w:t>
      </w:r>
      <w:hyperlink r:id="rId18">
        <w:r>
          <w:rPr>
            <w:rStyle w:val="Hyperlink"/>
            <w:rFonts w:ascii="Times New Roman" w:hAnsi="Times New Roman"/>
            <w:b w:val="false"/>
            <w:i w:val="false"/>
            <w:color w:val="000000"/>
            <w:sz w:val="22"/>
          </w:rPr>
          <w:t>11—119.4</w:t>
        </w:r>
      </w:hyperlink>
      <w:r>
        <w:rPr>
          <w:rFonts w:ascii="Times New Roman" w:hAnsi="Times New Roman"/>
          <w:b w:val="false"/>
          <w:i w:val="false"/>
          <w:color w:val="000000"/>
          <w:sz w:val="22"/>
        </w:rPr>
        <w:t>(8,8A) or  </w:t>
      </w:r>
      <w:hyperlink r:id="rId19">
        <w:r>
          <w:rPr>
            <w:rStyle w:val="Hyperlink"/>
            <w:rFonts w:ascii="Times New Roman" w:hAnsi="Times New Roman"/>
            <w:b w:val="false"/>
            <w:i w:val="false"/>
            <w:color w:val="000000"/>
            <w:sz w:val="22"/>
          </w:rPr>
          <w:t>11—119.5</w:t>
        </w:r>
      </w:hyperlink>
      <w:r>
        <w:rPr>
          <w:rFonts w:ascii="Times New Roman" w:hAnsi="Times New Roman"/>
          <w:b w:val="false"/>
          <w:i w:val="false"/>
          <w:color w:val="000000"/>
          <w:sz w:val="22"/>
        </w:rPr>
        <w:t>(8,8A).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6263C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11—118.9</w:t>
      </w:r>
      <w:r>
        <w:rPr>
          <w:rFonts w:ascii="Times New Roman" w:hAnsi="Times New Roman"/>
          <w:b/>
          <w:i w:val="false"/>
          <w:color w:val="000000"/>
          <w:sz w:val="22"/>
        </w:rPr>
        <w:t xml:space="preserve">(8A) </w:t>
      </w:r>
      <w:r>
        <w:rPr>
          <w:rFonts w:ascii="Times New Roman" w:hAnsi="Times New Roman"/>
          <w:b/>
          <w:i w:val="false"/>
          <w:color w:val="000000"/>
          <w:sz w:val="22"/>
        </w:rPr>
        <w:t xml:space="preserve">Informal competitive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118.9(1)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utilizing an informal competition as defined in rule </w:t>
      </w:r>
      <w:hyperlink r:id="rId20">
        <w:r>
          <w:rPr>
            <w:rStyle w:val="Hyperlink"/>
            <w:rFonts w:ascii="Times New Roman" w:hAnsi="Times New Roman"/>
            <w:b w:val="false"/>
            <w:i w:val="false"/>
            <w:color w:val="000000"/>
            <w:sz w:val="22"/>
          </w:rPr>
          <w:t>11—118.3</w:t>
        </w:r>
      </w:hyperlink>
      <w:r>
        <w:rPr>
          <w:rFonts w:ascii="Times New Roman" w:hAnsi="Times New Roman"/>
          <w:b w:val="false"/>
          <w:i w:val="false"/>
          <w:color w:val="000000"/>
          <w:sz w:val="22"/>
        </w:rPr>
        <w:t>(8A), the state agency may contact the prospective service providers in person, by telephone, fax, email or letter. When the state agency is not able to locate three prospective service providers, the state agency must justify contacting fewer than three service providers. The justification shall be included in the contract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118.9(2)</w:t>
      </w:r>
      <w:r>
        <w:rPr>
          <w:rFonts w:ascii="Times New Roman" w:hAnsi="Times New Roman"/>
          <w:b w:val="false"/>
          <w:i w:val="false"/>
          <w:color w:val="000000"/>
          <w:sz w:val="22"/>
        </w:rPr>
        <w:t> </w:t>
      </w:r>
      <w:r>
        <w:rPr>
          <w:rFonts w:ascii="Times New Roman" w:hAnsi="Times New Roman"/>
          <w:b w:val="false"/>
          <w:i w:val="false"/>
          <w:color w:val="000000"/>
          <w:sz w:val="22"/>
        </w:rPr>
        <w:t>A state agency may send copies of the scope of work to service providers that it has identified as qualified to perform the work described in the scope of 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11—118.10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11—118.11</w:t>
      </w:r>
      <w:r>
        <w:rPr>
          <w:rFonts w:ascii="Times New Roman" w:hAnsi="Times New Roman"/>
          <w:b/>
          <w:i w:val="false"/>
          <w:color w:val="000000"/>
          <w:sz w:val="22"/>
        </w:rPr>
        <w:t xml:space="preserve">(8A) </w:t>
      </w:r>
      <w:r>
        <w:rPr>
          <w:rFonts w:ascii="Times New Roman" w:hAnsi="Times New Roman"/>
          <w:b/>
          <w:i w:val="false"/>
          <w:color w:val="000000"/>
          <w:sz w:val="22"/>
        </w:rPr>
        <w:t xml:space="preserve">Duration of service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118.11(1)</w:t>
      </w:r>
      <w:r>
        <w:rPr>
          <w:rFonts w:ascii="Times New Roman" w:hAnsi="Times New Roman"/>
          <w:b w:val="false"/>
          <w:i w:val="false"/>
          <w:color w:val="000000"/>
          <w:sz w:val="22"/>
        </w:rPr>
        <w:t> </w:t>
      </w:r>
      <w:r>
        <w:rPr>
          <w:rFonts w:ascii="Times New Roman" w:hAnsi="Times New Roman"/>
          <w:b w:val="false"/>
          <w:i w:val="false"/>
          <w:color w:val="000000"/>
          <w:sz w:val="22"/>
        </w:rPr>
        <w:t>Each service contract signed by a state agency shall have a specific starting and ending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118.11(2)</w:t>
      </w:r>
      <w:r>
        <w:rPr>
          <w:rFonts w:ascii="Times New Roman" w:hAnsi="Times New Roman"/>
          <w:b w:val="false"/>
          <w:i w:val="false"/>
          <w:color w:val="000000"/>
          <w:sz w:val="22"/>
        </w:rPr>
        <w:t> </w:t>
      </w:r>
      <w:r>
        <w:rPr>
          <w:rFonts w:ascii="Times New Roman" w:hAnsi="Times New Roman"/>
          <w:b w:val="false"/>
          <w:i w:val="false"/>
          <w:color w:val="000000"/>
          <w:sz w:val="22"/>
        </w:rPr>
        <w:t>State agencies shall not sign self-renewing service contracts that do not have a specific ending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118.11(3)</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contract should be competitively selected on a regular basis so that a state agency obtains the best value for the funds spent; avoids inefficiencies, waste or duplication; and may take advantage of new innovations, ideas and technology. A service contract, including all optional renewals, shall not exceed a term of six years; however, information technology service contracts entered into by the department or office of chief information officer may have a term length not to exceed ten years. Service contracts shall not exceed the term lengths set forth herein unless the state agency obtains a waiver of this provision pursuant to rule </w:t>
      </w:r>
      <w:hyperlink r:id="rId21">
        <w:r>
          <w:rPr>
            <w:rStyle w:val="Hyperlink"/>
            <w:rFonts w:ascii="Times New Roman" w:hAnsi="Times New Roman"/>
            <w:b w:val="false"/>
            <w:i w:val="false"/>
            <w:color w:val="000000"/>
            <w:sz w:val="22"/>
          </w:rPr>
          <w:t>11—118.16</w:t>
        </w:r>
      </w:hyperlink>
      <w:r>
        <w:rPr>
          <w:rFonts w:ascii="Times New Roman" w:hAnsi="Times New Roman"/>
          <w:b w:val="false"/>
          <w:i w:val="false"/>
          <w:color w:val="000000"/>
          <w:sz w:val="22"/>
        </w:rPr>
        <w:t>(8A).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11—118.12</w:t>
      </w:r>
      <w:r>
        <w:rPr>
          <w:rFonts w:ascii="Times New Roman" w:hAnsi="Times New Roman"/>
          <w:b/>
          <w:i w:val="false"/>
          <w:color w:val="000000"/>
          <w:sz w:val="22"/>
        </w:rPr>
        <w:t xml:space="preserve">(8A) </w:t>
      </w:r>
      <w:r>
        <w:rPr>
          <w:rFonts w:ascii="Times New Roman" w:hAnsi="Times New Roman"/>
          <w:b/>
          <w:i w:val="false"/>
          <w:color w:val="000000"/>
          <w:sz w:val="22"/>
        </w:rPr>
        <w:t xml:space="preserve">Additional procedures or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118.12(1)</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agencies, when utilizing formal competition, shall provide a 48-hour notice of each procurement for services to the targeted small business portal located at the Iowa economic development authority’s website in conformance with Iowa Code section </w:t>
      </w:r>
      <w:hyperlink r:id="rId22">
        <w:r>
          <w:rPr>
            <w:rStyle w:val="Hyperlink"/>
            <w:rFonts w:ascii="Times New Roman" w:hAnsi="Times New Roman"/>
            <w:b w:val="false"/>
            <w:i w:val="false"/>
            <w:color w:val="000000"/>
            <w:sz w:val="22"/>
          </w:rPr>
          <w:t>73.16(2)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118.12(2)</w:t>
      </w:r>
      <w:r>
        <w:rPr>
          <w:rFonts w:ascii="Times New Roman" w:hAnsi="Times New Roman"/>
          <w:b w:val="false"/>
          <w:i w:val="false"/>
          <w:color w:val="000000"/>
          <w:sz w:val="22"/>
        </w:rPr>
        <w:t> </w:t>
      </w:r>
      <w:r>
        <w:rPr>
          <w:rFonts w:ascii="Times New Roman" w:hAnsi="Times New Roman"/>
          <w:b w:val="false"/>
          <w:i w:val="false"/>
          <w:color w:val="000000"/>
          <w:sz w:val="22"/>
        </w:rPr>
        <w:t>Except in an emergency procurement, services shall not be performed pursuant to a service contract for a state agency until all parties to the contract have signed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118.12(3)</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competitive selection process, all service providers shall be required to sign a service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118.12(4)</w:t>
      </w:r>
      <w:r>
        <w:rPr>
          <w:rFonts w:ascii="Times New Roman" w:hAnsi="Times New Roman"/>
          <w:b w:val="false"/>
          <w:i w:val="false"/>
          <w:color w:val="000000"/>
          <w:sz w:val="22"/>
        </w:rPr>
        <w:t> </w:t>
      </w:r>
      <w:r>
        <w:rPr>
          <w:rFonts w:ascii="Times New Roman" w:hAnsi="Times New Roman"/>
          <w:b w:val="false"/>
          <w:i w:val="false"/>
          <w:color w:val="000000"/>
          <w:sz w:val="22"/>
        </w:rPr>
        <w:t>Each state agency shall maintain a contracting file for each service contract signed by the state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11—118.13</w:t>
      </w:r>
      <w:r>
        <w:rPr>
          <w:rFonts w:ascii="Times New Roman" w:hAnsi="Times New Roman"/>
          <w:b w:val="false"/>
          <w:i w:val="false"/>
          <w:color w:val="000000"/>
          <w:sz w:val="22"/>
        </w:rPr>
        <w:t xml:space="preserve"> and </w:t>
      </w:r>
      <w:r>
        <w:rPr>
          <w:rFonts w:ascii="Times New Roman" w:hAnsi="Times New Roman"/>
          <w:b/>
          <w:i w:val="false"/>
          <w:color w:val="000000"/>
          <w:sz w:val="22"/>
        </w:rPr>
        <w:t>118.14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11—118.15</w:t>
      </w:r>
      <w:r>
        <w:rPr>
          <w:rFonts w:ascii="Times New Roman" w:hAnsi="Times New Roman"/>
          <w:b/>
          <w:i w:val="false"/>
          <w:color w:val="000000"/>
          <w:sz w:val="22"/>
        </w:rPr>
        <w:t xml:space="preserve">(8A) </w:t>
      </w:r>
      <w:r>
        <w:rPr>
          <w:rFonts w:ascii="Times New Roman" w:hAnsi="Times New Roman"/>
          <w:b/>
          <w:i w:val="false"/>
          <w:color w:val="000000"/>
          <w:sz w:val="22"/>
        </w:rPr>
        <w:t xml:space="preserve">Exclusions and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118.15(1)</w:t>
      </w:r>
      <w:r>
        <w:rPr>
          <w:rFonts w:ascii="Times New Roman" w:hAnsi="Times New Roman"/>
          <w:b w:val="false"/>
          <w:i w:val="false"/>
          <w:color w:val="000000"/>
          <w:sz w:val="22"/>
        </w:rPr>
        <w:t> </w:t>
      </w:r>
      <w:r>
        <w:rPr>
          <w:rFonts w:ascii="Times New Roman" w:hAnsi="Times New Roman"/>
          <w:b w:val="false"/>
          <w:i w:val="false"/>
          <w:color w:val="000000"/>
          <w:sz w:val="22"/>
        </w:rPr>
        <w:t>These rules do not apply to contracts for both goods and services when the predominant factor, thrust, and purpose of the contract as reasonably stated is for the purchase of goods with service incidentally involved. However, in no event shall state agencies designate contracts as contracts for goods to avoid the application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118.15(2)</w:t>
      </w:r>
      <w:r>
        <w:rPr>
          <w:rFonts w:ascii="Times New Roman" w:hAnsi="Times New Roman"/>
          <w:b w:val="false"/>
          <w:i w:val="false"/>
          <w:color w:val="000000"/>
          <w:sz w:val="22"/>
        </w:rPr>
        <w:t> </w:t>
      </w:r>
      <w:r>
        <w:rPr>
          <w:rFonts w:ascii="Times New Roman" w:hAnsi="Times New Roman"/>
          <w:b w:val="false"/>
          <w:i w:val="false"/>
          <w:color w:val="000000"/>
          <w:sz w:val="22"/>
        </w:rPr>
        <w:t>Nothing in this chapter is intended to supplant or supersede the requirements adopted by the department relating to the processing of claims. State agencies entering into personal services contracts should refer to procedure 240.102, Miscellaneous—Services Contracting, of the department’s state accounting enterprise policy and procedure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11—118.16</w:t>
      </w:r>
      <w:r>
        <w:rPr>
          <w:rFonts w:ascii="Times New Roman" w:hAnsi="Times New Roman"/>
          <w:b/>
          <w:i w:val="false"/>
          <w:color w:val="000000"/>
          <w:sz w:val="22"/>
        </w:rPr>
        <w:t xml:space="preserve">(8A) </w:t>
      </w:r>
      <w:r>
        <w:rPr>
          <w:rFonts w:ascii="Times New Roman" w:hAnsi="Times New Roman"/>
          <w:b/>
          <w:i w:val="false"/>
          <w:color w:val="000000"/>
          <w:sz w:val="22"/>
        </w:rPr>
        <w:t xml:space="preserve">Waiver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118.16(1)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chapter, a “waiver” means an action by the director of the department that suspends, in whole or in part, the requirements or provisions of a rule in this chapter as applied to a state agency when the state agency establishes good cause for a waiver of the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118.16(2)</w:t>
      </w:r>
      <w:r>
        <w:rPr>
          <w:rFonts w:ascii="Times New Roman" w:hAnsi="Times New Roman"/>
          <w:b w:val="false"/>
          <w:i w:val="false"/>
          <w:color w:val="000000"/>
          <w:sz w:val="22"/>
        </w:rPr>
        <w:t> </w:t>
      </w:r>
      <w:r>
        <w:rPr>
          <w:rFonts w:ascii="Times New Roman" w:hAnsi="Times New Roman"/>
          <w:b w:val="false"/>
          <w:i w:val="false"/>
          <w:color w:val="000000"/>
          <w:sz w:val="22"/>
        </w:rPr>
        <w:t>Requests for waivers. A state agency seeking a waiver shall submit a written request for a waiver to the director. The written request shall identify the rule for which the state agency seeks a waiver, the contract or class of contracts for which the state agency seeks a waiver, and the reasons that the state agency believes justify granting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118.16(3)</w:t>
      </w:r>
      <w:r>
        <w:rPr>
          <w:rFonts w:ascii="Times New Roman" w:hAnsi="Times New Roman"/>
          <w:b w:val="false"/>
          <w:i w:val="false"/>
          <w:color w:val="000000"/>
          <w:sz w:val="22"/>
        </w:rPr>
        <w:t> </w:t>
      </w:r>
      <w:r>
        <w:rPr>
          <w:rFonts w:ascii="Times New Roman" w:hAnsi="Times New Roman"/>
          <w:b w:val="false"/>
          <w:i w:val="false"/>
          <w:color w:val="000000"/>
          <w:sz w:val="22"/>
        </w:rPr>
        <w:t>Criteria for waiver. In response to a request for a waiver submitted by a state agency, the director may issue an order waiving in whole or in part the requirements of a rule in this chapter if the director finds that the state agency has established good cause for waiving the requirements of the rule. “Good cause” includes, but is not limited to, a showing that a requirement or provision of a rule should be waived because the requirement or provision would likely result in an unintended, undesirable, or adverse consequence or outcome. An example of good cause for a waiver is when a contract duration period of longer than six years is more economically or operationally feasible than a six-year contract in light of the service being purchased by the state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5391C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11—118.17</w:t>
      </w:r>
      <w:r>
        <w:rPr>
          <w:rFonts w:ascii="Times New Roman" w:hAnsi="Times New Roman"/>
          <w:b/>
          <w:i w:val="false"/>
          <w:color w:val="000000"/>
          <w:sz w:val="22"/>
        </w:rPr>
        <w:t xml:space="preserve">(8A) </w:t>
      </w:r>
      <w:r>
        <w:rPr>
          <w:rFonts w:ascii="Times New Roman" w:hAnsi="Times New Roman"/>
          <w:b/>
          <w:i w:val="false"/>
          <w:color w:val="000000"/>
          <w:sz w:val="22"/>
        </w:rPr>
        <w:t xml:space="preserve">Effective date. </w:t>
      </w:r>
      <w:r>
        <w:rPr>
          <w:rFonts w:ascii="Times New Roman" w:hAnsi="Times New Roman"/>
          <w:b w:val="false"/>
          <w:i w:val="false"/>
          <w:color w:val="000000"/>
          <w:sz w:val="22"/>
        </w:rPr>
        <w:t>This chapter shall apply to service contracts with a starting date on or after October 1, 2002.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3">
        <w:r>
          <w:rPr>
            <w:rStyle w:val="Hyperlink"/>
            <w:rFonts w:ascii="Times New Roman" w:hAnsi="Times New Roman"/>
            <w:b w:val="false"/>
            <w:i w:val="false"/>
            <w:color w:val="000000"/>
            <w:sz w:val="22"/>
          </w:rPr>
          <w:t>8A.101</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8A.104</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8A.301</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8A.302</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8A.311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8/2/02, Notice 4/3/02—published 8/21/02, effective 10/1/02]</w:t>
      </w:r>
    </w:p>
    <w:p>
      <w:pPr>
        <w:spacing w:before="0" w:after="0"/>
        <w:ind w:left="120"/>
        <w:jc w:val="center"/>
      </w:pPr>
      <w:r>
        <w:rPr>
          <w:rFonts w:ascii="Times New Roman" w:hAnsi="Times New Roman"/>
          <w:b w:val="false"/>
          <w:i w:val="false"/>
          <w:color w:val="000000"/>
          <w:sz w:val="21"/>
        </w:rPr>
        <w:t>[Filed emergency 8/29/03—published 9/17/03, effective 9/2/03]</w:t>
      </w:r>
    </w:p>
    <w:p>
      <w:pPr>
        <w:spacing w:before="0" w:after="0"/>
        <w:ind w:left="120"/>
        <w:jc w:val="center"/>
      </w:pPr>
      <w:r>
        <w:rPr>
          <w:rFonts w:ascii="Times New Roman" w:hAnsi="Times New Roman"/>
          <w:b w:val="false"/>
          <w:i w:val="false"/>
          <w:color w:val="000000"/>
          <w:sz w:val="21"/>
        </w:rPr>
        <w:t>[Filed 6/2/04, Notice 4/28/04—published 6/23/04, effective 7/28/04]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ARC 0952C</w:t>
      </w:r>
      <w:r>
        <w:rPr>
          <w:rFonts w:ascii="Times New Roman" w:hAnsi="Times New Roman"/>
          <w:b w:val="false"/>
          <w:i w:val="false"/>
          <w:color w:val="000000"/>
          <w:sz w:val="21"/>
        </w:rPr>
        <w:t xml:space="preserve"> (Notice ARC 0812C, IAB 6/26/13)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1485C</w:t>
      </w:r>
      <w:r>
        <w:rPr>
          <w:rFonts w:ascii="Times New Roman" w:hAnsi="Times New Roman"/>
          <w:b w:val="false"/>
          <w:i w:val="false"/>
          <w:color w:val="000000"/>
          <w:sz w:val="21"/>
        </w:rPr>
        <w:t xml:space="preserve"> (Notice ARC 1302C, IAB 2/5/14)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2036C</w:t>
      </w:r>
      <w:r>
        <w:rPr>
          <w:rFonts w:ascii="Times New Roman" w:hAnsi="Times New Roman"/>
          <w:b w:val="false"/>
          <w:i w:val="false"/>
          <w:color w:val="000000"/>
          <w:sz w:val="21"/>
        </w:rPr>
        <w:t xml:space="preserve"> (Notice ARC 1969C, IAB 4/15/15)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4134C</w:t>
      </w:r>
      <w:r>
        <w:rPr>
          <w:rFonts w:ascii="Times New Roman" w:hAnsi="Times New Roman"/>
          <w:b w:val="false"/>
          <w:i w:val="false"/>
          <w:color w:val="000000"/>
          <w:sz w:val="21"/>
        </w:rPr>
        <w:t xml:space="preserve"> (Notice ARC 4021C,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4182C</w:t>
      </w:r>
      <w:r>
        <w:rPr>
          <w:rFonts w:ascii="Times New Roman" w:hAnsi="Times New Roman"/>
          <w:b w:val="false"/>
          <w:i w:val="false"/>
          <w:color w:val="000000"/>
          <w:sz w:val="21"/>
        </w:rPr>
        <w:t xml:space="preserve"> (Notice ARC 4050C, IAB 10/10/18)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4845C</w:t>
      </w:r>
      <w:r>
        <w:rPr>
          <w:rFonts w:ascii="Times New Roman" w:hAnsi="Times New Roman"/>
          <w:b w:val="false"/>
          <w:i w:val="false"/>
          <w:color w:val="000000"/>
          <w:sz w:val="21"/>
        </w:rPr>
        <w:t xml:space="preserve"> (Notice ARC 4735C, IAB 11/6/19)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5391C</w:t>
      </w:r>
      <w:r>
        <w:rPr>
          <w:rFonts w:ascii="Times New Roman" w:hAnsi="Times New Roman"/>
          <w:b w:val="false"/>
          <w:i w:val="false"/>
          <w:color w:val="000000"/>
          <w:sz w:val="21"/>
        </w:rPr>
        <w:t xml:space="preserve"> (Notice ARC 5243C, IAB 11/4/20)</w:t>
      </w:r>
      <w:r>
        <w:rPr>
          <w:rFonts w:ascii="Times New Roman" w:hAnsi="Times New Roman"/>
          <w:b w:val="false"/>
          <w:i w:val="false"/>
          <w:color w:val="000000"/>
          <w:sz w:val="21"/>
        </w:rPr>
        <w:t>, IAB 1/13/21, effective 2/17/21]</w:t>
      </w:r>
    </w:p>
    <w:p>
      <w:pPr>
        <w:spacing w:before="0" w:after="0"/>
        <w:ind w:left="120"/>
        <w:jc w:val="center"/>
      </w:pPr>
      <w:r>
        <w:rPr>
          <w:rFonts w:ascii="Times New Roman" w:hAnsi="Times New Roman"/>
          <w:b w:val="false"/>
          <w:i w:val="false"/>
          <w:color w:val="000000"/>
          <w:sz w:val="21"/>
        </w:rPr>
        <w:t>[Filed ARC 6263C</w:t>
      </w:r>
      <w:r>
        <w:rPr>
          <w:rFonts w:ascii="Times New Roman" w:hAnsi="Times New Roman"/>
          <w:b w:val="false"/>
          <w:i w:val="false"/>
          <w:color w:val="000000"/>
          <w:sz w:val="21"/>
        </w:rPr>
        <w:t xml:space="preserve"> (Notice ARC 6162C, IAB 1/26/22)</w:t>
      </w:r>
      <w:r>
        <w:rPr>
          <w:rFonts w:ascii="Times New Roman" w:hAnsi="Times New Roman"/>
          <w:b w:val="false"/>
          <w:i w:val="false"/>
          <w:color w:val="000000"/>
          <w:sz w:val="21"/>
        </w:rPr>
        <w:t>, IAB 3/23/22, effective 4/27/22]</w:t>
      </w:r>
    </w:p>
    <w:p>
      <w:pPr>
        <w:spacing w:before="0" w:after="0"/>
        <w:ind w:left="120"/>
        <w:jc w:val="center"/>
      </w:pPr>
      <w:r>
        <w:rPr>
          <w:rFonts w:ascii="Times New Roman" w:hAnsi="Times New Roman"/>
          <w:b w:val="false"/>
          <w:i w:val="false"/>
          <w:color w:val="000000"/>
          <w:sz w:val="21"/>
        </w:rPr>
        <w:t>[Filed ARC 7018C</w:t>
      </w:r>
      <w:r>
        <w:rPr>
          <w:rFonts w:ascii="Times New Roman" w:hAnsi="Times New Roman"/>
          <w:b w:val="false"/>
          <w:i w:val="false"/>
          <w:color w:val="000000"/>
          <w:sz w:val="21"/>
        </w:rPr>
        <w:t xml:space="preserve"> (Notice ARC 6883C, IAB 2/8/23)</w:t>
      </w:r>
      <w:r>
        <w:rPr>
          <w:rFonts w:ascii="Times New Roman" w:hAnsi="Times New Roman"/>
          <w:b w:val="false"/>
          <w:i w:val="false"/>
          <w:color w:val="000000"/>
          <w:sz w:val="21"/>
        </w:rPr>
        <w:t>, IAB 5/17/23, effective 6/21/23]</w:t>
      </w:r>
    </w:p>
    <w:p>
      <w:pPr>
        <w:spacing w:before="0" w:after="0"/>
        <w:ind w:left="120"/>
        <w:jc w:val="center"/>
      </w:pPr>
      <w:r>
        <w:rPr>
          <w:rFonts w:ascii="Times New Roman" w:hAnsi="Times New Roman"/>
          <w:b w:val="false"/>
          <w:i w:val="false"/>
          <w:color w:val="000000"/>
          <w:sz w:val="21"/>
        </w:rPr>
        <w:t>[Filed ARC 9355C</w:t>
      </w:r>
      <w:r>
        <w:rPr>
          <w:rFonts w:ascii="Times New Roman" w:hAnsi="Times New Roman"/>
          <w:b w:val="false"/>
          <w:i w:val="false"/>
          <w:color w:val="000000"/>
          <w:sz w:val="21"/>
        </w:rPr>
        <w:t xml:space="preserve"> (Notice ARC 8776C, IAB 1/8/25)</w:t>
      </w:r>
      <w:r>
        <w:rPr>
          <w:rFonts w:ascii="Times New Roman" w:hAnsi="Times New Roman"/>
          <w:b w:val="false"/>
          <w:i w:val="false"/>
          <w:color w:val="000000"/>
          <w:sz w:val="21"/>
        </w:rPr>
        <w:t>, IAB 6/11/25, effective 7/16/25]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117.1.pdf" Type="http://schemas.openxmlformats.org/officeDocument/2006/relationships/hyperlink" Id="rId5"/>
    <Relationship TargetMode="External" Target="https://www.legis.iowa.gov/docs/iac/rule/11.117.2.pdf" Type="http://schemas.openxmlformats.org/officeDocument/2006/relationships/hyperlink" Id="rId6"/>
    <Relationship TargetMode="External" Target="https://www.legis.iowa.gov/docs/iac/chapter/11.117.pdf" Type="http://schemas.openxmlformats.org/officeDocument/2006/relationships/hyperlink" Id="rId7"/>
    <Relationship TargetMode="External" Target="https://www.legis.iowa.gov/docs/ico/chapter/7E.4.pdf" Type="http://schemas.openxmlformats.org/officeDocument/2006/relationships/hyperlink" Id="rId8"/>
    <Relationship TargetMode="External" Target="https://www.legis.iowa.gov/docs/ico/chapter/7E.5.pdf" Type="http://schemas.openxmlformats.org/officeDocument/2006/relationships/hyperlink" Id="rId9"/>
    <Relationship TargetMode="External" Target="https://www.legis.iowa.gov/docs/ico/chapter/602.1102.pdf" Type="http://schemas.openxmlformats.org/officeDocument/2006/relationships/hyperlink" Id="rId10"/>
    <Relationship TargetMode="External" Target="https://www.legis.iowa.gov/docs/iac/rule/11.118.7.pdf" Type="http://schemas.openxmlformats.org/officeDocument/2006/relationships/hyperlink" Id="rId11"/>
    <Relationship TargetMode="External" Target="https://www.legis.iowa.gov/docs/iac/rule/11.118.8.pdf" Type="http://schemas.openxmlformats.org/officeDocument/2006/relationships/hyperlink" Id="rId12"/>
    <Relationship TargetMode="External" Target="https://www.legis.iowa.gov/docs/iac/rule/11.117.5.pdf" Type="http://schemas.openxmlformats.org/officeDocument/2006/relationships/hyperlink" Id="rId13"/>
    <Relationship TargetMode="External" Target="https://www.legis.iowa.gov/docs/ico/chapter/314.1B.pdf" Type="http://schemas.openxmlformats.org/officeDocument/2006/relationships/hyperlink" Id="rId14"/>
    <Relationship TargetMode="External" Target="https://www.legis.iowa.gov/docs/ico/chapter/272C.pdf" Type="http://schemas.openxmlformats.org/officeDocument/2006/relationships/hyperlink" Id="rId15"/>
    <Relationship TargetMode="External" Target="https://www.legis.iowa.gov/docs/iac/rule/11.119.4.pdf" Type="http://schemas.openxmlformats.org/officeDocument/2006/relationships/hyperlink" Id="rId16"/>
    <Relationship TargetMode="External" Target="https://www.legis.iowa.gov/docs/iac/rule/11.119.5.pdf" Type="http://schemas.openxmlformats.org/officeDocument/2006/relationships/hyperlink" Id="rId17"/>
    <Relationship TargetMode="External" Target="https://www.legis.iowa.gov/docs/iac/rule/11.119.4.pdf" Type="http://schemas.openxmlformats.org/officeDocument/2006/relationships/hyperlink" Id="rId18"/>
    <Relationship TargetMode="External" Target="https://www.legis.iowa.gov/docs/iac/rule/11.119.5.pdf" Type="http://schemas.openxmlformats.org/officeDocument/2006/relationships/hyperlink" Id="rId19"/>
    <Relationship TargetMode="External" Target="https://www.legis.iowa.gov/docs/iac/rule/11.118.3.pdf" Type="http://schemas.openxmlformats.org/officeDocument/2006/relationships/hyperlink" Id="rId20"/>
    <Relationship TargetMode="External" Target="https://www.legis.iowa.gov/docs/iac/rule/11.118.16.pdf" Type="http://schemas.openxmlformats.org/officeDocument/2006/relationships/hyperlink" Id="rId21"/>
    <Relationship TargetMode="External" Target="https://www.legis.iowa.gov/docs/ico/chapter/73.16.pdf" Type="http://schemas.openxmlformats.org/officeDocument/2006/relationships/hyperlink" Id="rId22"/>
    <Relationship TargetMode="External" Target="https://www.legis.iowa.gov/docs/ico/chapter/8A.101.pdf" Type="http://schemas.openxmlformats.org/officeDocument/2006/relationships/hyperlink" Id="rId23"/>
    <Relationship TargetMode="External" Target="https://www.legis.iowa.gov/docs/ico/chapter/8A.104.pdf" Type="http://schemas.openxmlformats.org/officeDocument/2006/relationships/hyperlink" Id="rId24"/>
    <Relationship TargetMode="External" Target="https://www.legis.iowa.gov/docs/ico/chapter/8A.301.pdf" Type="http://schemas.openxmlformats.org/officeDocument/2006/relationships/hyperlink" Id="rId25"/>
    <Relationship TargetMode="External" Target="https://www.legis.iowa.gov/docs/ico/chapter/8A.302.pdf" Type="http://schemas.openxmlformats.org/officeDocument/2006/relationships/hyperlink" Id="rId26"/>
    <Relationship TargetMode="External" Target="https://www.legis.iowa.gov/docs/ico/chapter/8A.311.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