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INVENTORY GUIDELINES FOR STATE OF IOWA</w:t>
      </w:r>
      <w:r>
        <w:br/>
      </w:r>
      <w:r>
        <w:rPr>
          <w:rFonts w:ascii="Times New Roman" w:hAnsi="Times New Roman"/>
          <w:b w:val="false"/>
          <w:i w:val="false"/>
          <w:color w:val="000000"/>
          <w:sz w:val="21"/>
        </w:rPr>
        <w:t>PERSONAL AND REAL PROPERTY</w:t>
      </w:r>
    </w:p>
    <w:p>
      <w:pPr>
        <w:spacing w:before="0" w:after="0"/>
        <w:ind w:left="120"/>
        <w:jc w:val="center"/>
      </w:pPr>
      <w:r>
        <w:rPr>
          <w:rFonts w:ascii="Times New Roman" w:hAnsi="Times New Roman"/>
          <w:b w:val="false"/>
          <w:i w:val="false"/>
          <w:color w:val="000000"/>
          <w:sz w:val="14"/>
        </w:rPr>
        <w:t>[Prior to 9/17/03, see 401—Chapter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11—110.1</w:t>
      </w:r>
      <w:r>
        <w:rPr>
          <w:rFonts w:ascii="Times New Roman" w:hAnsi="Times New Roman"/>
          <w:b/>
          <w:i w:val="false"/>
          <w:color w:val="000000"/>
          <w:sz w:val="22"/>
        </w:rPr>
        <w:t xml:space="preserve">(7A) </w:t>
      </w:r>
      <w:r>
        <w:rPr>
          <w:rFonts w:ascii="Times New Roman" w:hAnsi="Times New Roman"/>
          <w:b/>
          <w:i w:val="false"/>
          <w:color w:val="000000"/>
          <w:sz w:val="22"/>
        </w:rPr>
        <w:t xml:space="preserve">Purpose. </w:t>
      </w:r>
      <w:r>
        <w:rPr>
          <w:rFonts w:ascii="Times New Roman" w:hAnsi="Times New Roman"/>
          <w:b w:val="false"/>
          <w:i w:val="false"/>
          <w:color w:val="000000"/>
          <w:sz w:val="22"/>
        </w:rPr>
        <w:t>The department of administrative services is responsible for establishing inventory guidelines for personal and real property owned by state departments. Beginning July 1, 1998, the accompanying rules are the minimum universal guidelines for personal property. Each state department may implement more restrictive guidelines to enhance accountability for physical assets.</w:t>
      </w:r>
    </w:p>
    <w:p>
      <w:pPr>
        <w:spacing w:before="0" w:after="0"/>
        <w:ind w:left="120"/>
        <w:jc w:val="both"/>
      </w:pPr>
      <w:r>
        <w:rPr>
          <w:rFonts w:ascii="Times New Roman" w:hAnsi="Times New Roman"/>
          <w:b/>
          <w:i w:val="false"/>
          <w:color w:val="000000"/>
          <w:sz w:val="22"/>
        </w:rPr>
        <w:t>11—110.2</w:t>
      </w:r>
      <w:r>
        <w:rPr>
          <w:rFonts w:ascii="Times New Roman" w:hAnsi="Times New Roman"/>
          <w:b/>
          <w:i w:val="false"/>
          <w:color w:val="000000"/>
          <w:sz w:val="22"/>
        </w:rPr>
        <w:t xml:space="preserve">(7A)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w:t>
      </w:r>
      <w:r>
        <w:rPr>
          <w:rFonts w:ascii="Times New Roman" w:hAnsi="Times New Roman"/>
          <w:b w:val="false"/>
          <w:i w:val="false"/>
          <w:color w:val="000000"/>
          <w:sz w:val="22"/>
        </w:rPr>
        <w:t> </w:t>
      </w:r>
      <w:r>
        <w:rPr>
          <w:rFonts w:ascii="Times New Roman" w:hAnsi="Times New Roman"/>
          <w:b w:val="false"/>
          <w:i/>
          <w:color w:val="000000"/>
          <w:sz w:val="22"/>
        </w:rPr>
        <w:t xml:space="preserve">Personal property. </w:t>
      </w:r>
      <w:r>
        <w:rPr>
          <w:rFonts w:ascii="Times New Roman" w:hAnsi="Times New Roman"/>
          <w:b w:val="false"/>
          <w:i w:val="false"/>
          <w:color w:val="000000"/>
          <w:sz w:val="22"/>
        </w:rPr>
        <w:t xml:space="preserve">For purposes of this chapter, personal property is any item or equipment that has an acquisition value of $5000 or more and has an anticipated useful life of one year or more. Computer software is to be excluded from this definition. If the minimum level for capitalization set by the federal Office of Management and Budget </w:t>
      </w:r>
      <w:r>
        <w:rPr>
          <w:rFonts w:ascii="Times New Roman" w:hAnsi="Times New Roman"/>
          <w:b w:val="false"/>
          <w:i w:val="false"/>
          <w:color w:val="000000"/>
          <w:sz w:val="22"/>
        </w:rPr>
        <w:t>2 CFR Part 200</w:t>
      </w:r>
      <w:r>
        <w:rPr>
          <w:rFonts w:ascii="Times New Roman" w:hAnsi="Times New Roman"/>
          <w:b w:val="false"/>
          <w:i w:val="false"/>
          <w:color w:val="000000"/>
          <w:sz w:val="22"/>
        </w:rPr>
        <w:t xml:space="preserve"> is changed, the department of administrative services will determine if the amount should be adjusted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110.2(2)</w:t>
      </w:r>
      <w:r>
        <w:rPr>
          <w:rFonts w:ascii="Times New Roman" w:hAnsi="Times New Roman"/>
          <w:b w:val="false"/>
          <w:i w:val="false"/>
          <w:color w:val="000000"/>
          <w:sz w:val="22"/>
        </w:rPr>
        <w:t> </w:t>
      </w:r>
      <w:r>
        <w:rPr>
          <w:rFonts w:ascii="Times New Roman" w:hAnsi="Times New Roman"/>
          <w:b w:val="false"/>
          <w:i/>
          <w:color w:val="000000"/>
          <w:sz w:val="22"/>
        </w:rPr>
        <w:t xml:space="preserve">Accounting in aggregate. </w:t>
      </w:r>
      <w:r>
        <w:rPr>
          <w:rFonts w:ascii="Times New Roman" w:hAnsi="Times New Roman"/>
          <w:b w:val="false"/>
          <w:i w:val="false"/>
          <w:color w:val="000000"/>
          <w:sz w:val="22"/>
        </w:rPr>
        <w:t>Accounting in aggregate is the process of accounting for certain types of items in a lump sum rather than individually. Items accounted for in aggregate are added for the combined value with one entry to the fixed asset listing. Items that may be accounted for in aggregate are defined as: one item that is made up of two or more component parts and the individual values are less than $5000, but the combined value can be $5000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110.2(3)</w:t>
      </w:r>
      <w:r>
        <w:rPr>
          <w:rFonts w:ascii="Times New Roman" w:hAnsi="Times New Roman"/>
          <w:b w:val="false"/>
          <w:i w:val="false"/>
          <w:color w:val="000000"/>
          <w:sz w:val="22"/>
        </w:rPr>
        <w:t> </w:t>
      </w:r>
      <w:r>
        <w:rPr>
          <w:rFonts w:ascii="Times New Roman" w:hAnsi="Times New Roman"/>
          <w:b w:val="false"/>
          <w:i/>
          <w:color w:val="000000"/>
          <w:sz w:val="22"/>
        </w:rPr>
        <w:t xml:space="preserve">Acquisition value—cost. </w:t>
      </w:r>
      <w:r>
        <w:rPr>
          <w:rFonts w:ascii="Times New Roman" w:hAnsi="Times New Roman"/>
          <w:b w:val="false"/>
          <w:i w:val="false"/>
          <w:color w:val="000000"/>
          <w:sz w:val="22"/>
        </w:rPr>
        <w:t>Cost may include freight, installation expense and administrative expense, if readily known and available. For donated items, historical treasures and similar assets, acquisition value is the price that would be paid to acquire an asset with similar service potential.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A department is any state agency or institution as identified in Iowa Code section </w:t>
      </w:r>
      <w:hyperlink r:id="rId5">
        <w:r>
          <w:rPr>
            <w:rStyle w:val="Hyperlink"/>
            <w:rFonts w:ascii="Times New Roman" w:hAnsi="Times New Roman"/>
            <w:b w:val="false"/>
            <w:i w:val="false"/>
            <w:color w:val="000000"/>
            <w:sz w:val="22"/>
          </w:rPr>
          <w:t>7A.30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11—110.3</w:t>
      </w:r>
      <w:r>
        <w:rPr>
          <w:rFonts w:ascii="Times New Roman" w:hAnsi="Times New Roman"/>
          <w:b/>
          <w:i w:val="false"/>
          <w:color w:val="000000"/>
          <w:sz w:val="22"/>
        </w:rPr>
        <w:t xml:space="preserve">(7A) </w:t>
      </w:r>
      <w:r>
        <w:rPr>
          <w:rFonts w:ascii="Times New Roman" w:hAnsi="Times New Roman"/>
          <w:b/>
          <w:i w:val="false"/>
          <w:color w:val="000000"/>
          <w:sz w:val="22"/>
        </w:rPr>
        <w:t xml:space="preserve">Accounting for items in aggregate. </w:t>
      </w:r>
      <w:r>
        <w:rPr>
          <w:rFonts w:ascii="Times New Roman" w:hAnsi="Times New Roman"/>
          <w:b w:val="false"/>
          <w:i w:val="false"/>
          <w:color w:val="000000"/>
          <w:sz w:val="22"/>
        </w:rPr>
        <w:t xml:space="preserve">Personal property may be accounted for in aggregate. If accounting in aggregate as defined in </w:t>
      </w:r>
      <w:hyperlink r:id="rId6">
        <w:r>
          <w:rPr>
            <w:rStyle w:val="Hyperlink"/>
            <w:rFonts w:ascii="Times New Roman" w:hAnsi="Times New Roman"/>
            <w:b w:val="false"/>
            <w:i w:val="false"/>
            <w:color w:val="000000"/>
            <w:sz w:val="22"/>
          </w:rPr>
          <w:t>110.2(2)</w:t>
        </w:r>
      </w:hyperlink>
      <w:r>
        <w:rPr>
          <w:rFonts w:ascii="Times New Roman" w:hAnsi="Times New Roman"/>
          <w:b w:val="false"/>
          <w:i w:val="false"/>
          <w:color w:val="000000"/>
          <w:sz w:val="22"/>
        </w:rPr>
        <w:t>, one item or component of the item shall be tagged with a prenumbered tag and all other items or components marked with an unnumbered tag or other identifiable markings.</w:t>
      </w:r>
    </w:p>
    <w:p>
      <w:pPr>
        <w:spacing w:before="0" w:after="0"/>
        <w:ind w:left="120"/>
        <w:jc w:val="both"/>
      </w:pPr>
      <w:r>
        <w:rPr>
          <w:rFonts w:ascii="Times New Roman" w:hAnsi="Times New Roman"/>
          <w:b w:val="false"/>
          <w:i w:val="false"/>
          <w:color w:val="000000"/>
          <w:sz w:val="22"/>
        </w:rPr>
        <w:t>Any item that is accounted for in the aggregate whose individual values are less than $5000 will not be included in the Iowa Annual Comprehensive Financial Report (ACFR), even if the amount in the aggregate exceeds the minimum level for capitalization. If a department chooses to account for items in aggregate, or report items at a level that is more restrictive than $5000, then the department must recognize that these items will be reconciling items when reporting for the ACFR.</w:t>
      </w:r>
    </w:p>
    <w:p>
      <w:pPr>
        <w:spacing w:before="0" w:after="0"/>
        <w:ind w:left="120"/>
        <w:jc w:val="both"/>
      </w:pPr>
      <w:r>
        <w:rPr>
          <w:rFonts w:ascii="Times New Roman" w:hAnsi="Times New Roman"/>
          <w:b w:val="false"/>
          <w:i w:val="false"/>
          <w:color w:val="000000"/>
          <w:sz w:val="22"/>
        </w:rPr>
        <w:t>To ensure proper accountability for these items, each department will prepare written policies and procedures for tracking and recording items accounted for in aggregate.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6865C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11—110.4</w:t>
      </w:r>
      <w:r>
        <w:rPr>
          <w:rFonts w:ascii="Times New Roman" w:hAnsi="Times New Roman"/>
          <w:b/>
          <w:i w:val="false"/>
          <w:color w:val="000000"/>
          <w:sz w:val="22"/>
        </w:rPr>
        <w:t xml:space="preserve">(7A) </w:t>
      </w:r>
      <w:r>
        <w:rPr>
          <w:rFonts w:ascii="Times New Roman" w:hAnsi="Times New Roman"/>
          <w:b/>
          <w:i w:val="false"/>
          <w:color w:val="000000"/>
          <w:sz w:val="22"/>
        </w:rPr>
        <w:t xml:space="preserve">Physical inventory. </w:t>
      </w:r>
      <w:r>
        <w:rPr>
          <w:rFonts w:ascii="Times New Roman" w:hAnsi="Times New Roman"/>
          <w:b w:val="false"/>
          <w:i w:val="false"/>
          <w:color w:val="000000"/>
          <w:sz w:val="22"/>
        </w:rPr>
        <w:t>A physical inventory of personal property must be taken and the results reconciled with property records at least once every two years.</w:t>
      </w:r>
    </w:p>
    <w:p>
      <w:pPr>
        <w:spacing w:before="210" w:after="0"/>
        <w:ind w:left="120"/>
        <w:jc w:val="both"/>
      </w:pPr>
      <w:r>
        <w:rPr>
          <w:rFonts w:ascii="Times New Roman" w:hAnsi="Times New Roman"/>
          <w:b/>
          <w:i w:val="false"/>
          <w:color w:val="000000"/>
          <w:sz w:val="22"/>
        </w:rPr>
        <w:t>11—110.5</w:t>
      </w:r>
      <w:r>
        <w:rPr>
          <w:rFonts w:ascii="Times New Roman" w:hAnsi="Times New Roman"/>
          <w:b/>
          <w:i w:val="false"/>
          <w:color w:val="000000"/>
          <w:sz w:val="22"/>
        </w:rPr>
        <w:t xml:space="preserve">(7A) </w:t>
      </w:r>
      <w:r>
        <w:rPr>
          <w:rFonts w:ascii="Times New Roman" w:hAnsi="Times New Roman"/>
          <w:b/>
          <w:i w:val="false"/>
          <w:color w:val="000000"/>
          <w:sz w:val="22"/>
        </w:rPr>
        <w:t xml:space="preserve">Inventory identification. </w:t>
      </w:r>
      <w:r>
        <w:rPr>
          <w:rFonts w:ascii="Times New Roman" w:hAnsi="Times New Roman"/>
          <w:b w:val="false"/>
          <w:i w:val="false"/>
          <w:color w:val="000000"/>
          <w:sz w:val="22"/>
        </w:rPr>
        <w:t>If feasible, all inventoried personal property should be identified as state of Iowa property with a prenumbered decal or the appropriate bar code tag or other identifiable mark.</w:t>
      </w:r>
    </w:p>
    <w:p>
      <w:pPr>
        <w:spacing w:before="0" w:after="0"/>
        <w:ind w:left="120"/>
        <w:jc w:val="both"/>
      </w:pPr>
      <w:r>
        <w:rPr>
          <w:rFonts w:ascii="Times New Roman" w:hAnsi="Times New Roman"/>
          <w:b/>
          <w:i w:val="false"/>
          <w:color w:val="000000"/>
          <w:sz w:val="22"/>
        </w:rPr>
        <w:t>11—110.6</w:t>
      </w:r>
      <w:r>
        <w:rPr>
          <w:rFonts w:ascii="Times New Roman" w:hAnsi="Times New Roman"/>
          <w:b/>
          <w:i w:val="false"/>
          <w:color w:val="000000"/>
          <w:sz w:val="22"/>
        </w:rPr>
        <w:t xml:space="preserve">(7A) </w:t>
      </w:r>
      <w:r>
        <w:rPr>
          <w:rFonts w:ascii="Times New Roman" w:hAnsi="Times New Roman"/>
          <w:b/>
          <w:i w:val="false"/>
          <w:color w:val="000000"/>
          <w:sz w:val="22"/>
        </w:rPr>
        <w:t xml:space="preserve">Inventory listing. </w:t>
      </w:r>
      <w:r>
        <w:rPr>
          <w:rFonts w:ascii="Times New Roman" w:hAnsi="Times New Roman"/>
          <w:b w:val="false"/>
          <w:i w:val="false"/>
          <w:color w:val="000000"/>
          <w:sz w:val="22"/>
        </w:rPr>
        <w:t>Personal property should be accounted for on an inventory listing. As applicable, the following minimum information must be presented on the inventory listing for each record of personal property: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Tag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Description.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Acquisition value.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Location(s).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Acquisition date.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Disposition date (not applicable until disposal of property).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only depreciation method allowed shall be the straight-line method.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If the personal property is depreciated, the information must include the useful life of the asset.</w:t>
      </w:r>
    </w:p>
    <w:p>
      <w:pPr>
        <w:spacing w:before="0" w:after="0"/>
        <w:ind w:left="120"/>
        <w:jc w:val="both"/>
      </w:pPr>
      <w:r>
        <w:rPr>
          <w:rFonts w:ascii="Times New Roman" w:hAnsi="Times New Roman"/>
          <w:b w:val="false"/>
          <w:i w:val="false"/>
          <w:color w:val="000000"/>
          <w:sz w:val="22"/>
        </w:rPr>
        <w:t>Departments shall develop adequate internal control procedures that (1) identify individual(s) authorized to update and change the inventory records and (2) provide for an adequate segregation of duties between the recording and custody of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11—110.7</w:t>
      </w:r>
      <w:r>
        <w:rPr>
          <w:rFonts w:ascii="Times New Roman" w:hAnsi="Times New Roman"/>
          <w:b/>
          <w:i w:val="false"/>
          <w:color w:val="000000"/>
          <w:sz w:val="22"/>
        </w:rPr>
        <w:t xml:space="preserve">(7A) </w:t>
      </w:r>
      <w:r>
        <w:rPr>
          <w:rFonts w:ascii="Times New Roman" w:hAnsi="Times New Roman"/>
          <w:b/>
          <w:i w:val="false"/>
          <w:color w:val="000000"/>
          <w:sz w:val="22"/>
        </w:rPr>
        <w:t xml:space="preserve">Capital leases. </w:t>
      </w:r>
      <w:r>
        <w:rPr>
          <w:rFonts w:ascii="Times New Roman" w:hAnsi="Times New Roman"/>
          <w:b w:val="false"/>
          <w:i w:val="false"/>
          <w:color w:val="000000"/>
          <w:sz w:val="22"/>
        </w:rPr>
        <w:t>Property acquired under capital lease provisions shall be accounted for on the inventory listing at the inception of the lease.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7A.30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10/21/94, Notice 8/31/94—published 11/9/94, effective 12/14/94]</w:t>
      </w:r>
    </w:p>
    <w:p>
      <w:pPr>
        <w:spacing w:before="0" w:after="0"/>
        <w:ind w:left="120"/>
        <w:jc w:val="center"/>
      </w:pPr>
      <w:r>
        <w:rPr>
          <w:rFonts w:ascii="Times New Roman" w:hAnsi="Times New Roman"/>
          <w:b w:val="false"/>
          <w:i w:val="false"/>
          <w:color w:val="000000"/>
          <w:sz w:val="21"/>
        </w:rPr>
        <w:t>[Filed 8/25/95, Notice 6/21/95—published 9/13/95, effective 10/18/95]</w:t>
      </w:r>
    </w:p>
    <w:p>
      <w:pPr>
        <w:spacing w:before="0" w:after="0"/>
        <w:ind w:left="120"/>
        <w:jc w:val="center"/>
      </w:pPr>
      <w:r>
        <w:rPr>
          <w:rFonts w:ascii="Times New Roman" w:hAnsi="Times New Roman"/>
          <w:b w:val="false"/>
          <w:i w:val="false"/>
          <w:color w:val="000000"/>
          <w:sz w:val="21"/>
        </w:rPr>
        <w:t>[Filed 9/4/98 emergency after Notice 4/22/98—published 9/23/98, effective 9/4/98]</w:t>
      </w:r>
    </w:p>
    <w:p>
      <w:pPr>
        <w:spacing w:before="0" w:after="0"/>
        <w:ind w:left="120"/>
        <w:jc w:val="center"/>
      </w:pPr>
      <w:r>
        <w:rPr>
          <w:rFonts w:ascii="Times New Roman" w:hAnsi="Times New Roman"/>
          <w:b w:val="false"/>
          <w:i w:val="false"/>
          <w:color w:val="000000"/>
          <w:sz w:val="21"/>
        </w:rPr>
        <w:t>[Filed 3/15/02, Notice 1/9/02—published 4/3/02, effective 5/8/02]</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6865C</w:t>
      </w:r>
      <w:r>
        <w:rPr>
          <w:rFonts w:ascii="Times New Roman" w:hAnsi="Times New Roman"/>
          <w:b w:val="false"/>
          <w:i w:val="false"/>
          <w:color w:val="000000"/>
          <w:sz w:val="21"/>
        </w:rPr>
        <w:t xml:space="preserve"> (Notice ARC 6752C,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A.30.pdf" Type="http://schemas.openxmlformats.org/officeDocument/2006/relationships/hyperlink" Id="rId5"/>
    <Relationship TargetMode="External" Target="https://www.legis.iowa.gov/docs/iac/rule/11.110.2.pdf" Type="http://schemas.openxmlformats.org/officeDocument/2006/relationships/hyperlink" Id="rId6"/>
    <Relationship TargetMode="External" Target="https://www.legis.iowa.gov/docs/ico/chapter/7A.3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